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E6E164" w14:textId="437649A3" w:rsidR="00357D99" w:rsidRDefault="00357D99" w:rsidP="00EB7F28">
      <w:pPr>
        <w:spacing w:line="240" w:lineRule="auto"/>
        <w:rPr>
          <w:rFonts w:ascii="Times New Roman" w:eastAsia="Times New Roman" w:hAnsi="Times New Roman" w:cs="Times New Roman"/>
          <w:b/>
          <w:sz w:val="24"/>
          <w:szCs w:val="24"/>
        </w:rPr>
      </w:pPr>
    </w:p>
    <w:p w14:paraId="4847601F" w14:textId="250602C8" w:rsidR="00507E0B" w:rsidRDefault="00507E0B" w:rsidP="00507E0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Table 1 Retail popup stores</w:t>
      </w:r>
      <w:r w:rsidR="00950B7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 analysis of characteristics</w:t>
      </w:r>
    </w:p>
    <w:p w14:paraId="72A57DA8" w14:textId="77777777" w:rsidR="00D514C3" w:rsidRDefault="00D514C3" w:rsidP="00507E0B">
      <w:pPr>
        <w:spacing w:line="240" w:lineRule="auto"/>
        <w:rPr>
          <w:rFonts w:ascii="Times New Roman" w:eastAsia="Times New Roman" w:hAnsi="Times New Roman" w:cs="Times New Roman"/>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231"/>
        <w:gridCol w:w="1450"/>
        <w:gridCol w:w="1147"/>
        <w:gridCol w:w="1227"/>
        <w:gridCol w:w="1264"/>
        <w:gridCol w:w="3041"/>
      </w:tblGrid>
      <w:tr w:rsidR="004A56E7" w:rsidRPr="00AF0804" w14:paraId="247D10F2" w14:textId="77777777" w:rsidTr="00D514C3">
        <w:trPr>
          <w:trHeight w:val="413"/>
          <w:jc w:val="center"/>
        </w:trPr>
        <w:tc>
          <w:tcPr>
            <w:tcW w:w="1231" w:type="dxa"/>
            <w:tcBorders>
              <w:top w:val="single" w:sz="4" w:space="0" w:color="auto"/>
              <w:bottom w:val="single" w:sz="4" w:space="0" w:color="auto"/>
            </w:tcBorders>
          </w:tcPr>
          <w:p w14:paraId="1AE57D7B" w14:textId="77777777" w:rsidR="00507E0B" w:rsidRPr="00AF0804" w:rsidRDefault="00507E0B" w:rsidP="0089365A">
            <w:pPr>
              <w:jc w:val="center"/>
              <w:rPr>
                <w:rFonts w:ascii="Times New Roman" w:hAnsi="Times New Roman" w:cs="Times New Roman"/>
                <w:sz w:val="20"/>
                <w:szCs w:val="20"/>
              </w:rPr>
            </w:pPr>
            <w:r w:rsidRPr="00AF0804">
              <w:rPr>
                <w:rFonts w:ascii="Times New Roman" w:hAnsi="Times New Roman" w:cs="Times New Roman"/>
                <w:sz w:val="20"/>
                <w:szCs w:val="20"/>
              </w:rPr>
              <w:t>Author</w:t>
            </w:r>
          </w:p>
        </w:tc>
        <w:tc>
          <w:tcPr>
            <w:tcW w:w="1450" w:type="dxa"/>
            <w:tcBorders>
              <w:top w:val="single" w:sz="4" w:space="0" w:color="auto"/>
              <w:bottom w:val="single" w:sz="4" w:space="0" w:color="auto"/>
            </w:tcBorders>
          </w:tcPr>
          <w:p w14:paraId="710BA921" w14:textId="77777777" w:rsidR="00507E0B" w:rsidRPr="00AF0804" w:rsidRDefault="00507E0B" w:rsidP="0089365A">
            <w:pPr>
              <w:jc w:val="center"/>
              <w:rPr>
                <w:rFonts w:ascii="Times New Roman" w:hAnsi="Times New Roman" w:cs="Times New Roman"/>
                <w:sz w:val="20"/>
                <w:szCs w:val="20"/>
              </w:rPr>
            </w:pPr>
            <w:r w:rsidRPr="00AF0804">
              <w:rPr>
                <w:rFonts w:ascii="Times New Roman" w:hAnsi="Times New Roman" w:cs="Times New Roman"/>
                <w:sz w:val="20"/>
                <w:szCs w:val="20"/>
              </w:rPr>
              <w:t>Experiential Store</w:t>
            </w:r>
          </w:p>
        </w:tc>
        <w:tc>
          <w:tcPr>
            <w:tcW w:w="1147" w:type="dxa"/>
            <w:tcBorders>
              <w:top w:val="single" w:sz="4" w:space="0" w:color="auto"/>
              <w:bottom w:val="single" w:sz="4" w:space="0" w:color="auto"/>
            </w:tcBorders>
          </w:tcPr>
          <w:p w14:paraId="676441D5" w14:textId="149D5C19" w:rsidR="00507E0B" w:rsidRPr="00AF0804" w:rsidRDefault="00507E0B" w:rsidP="0089365A">
            <w:pPr>
              <w:jc w:val="center"/>
              <w:rPr>
                <w:rFonts w:ascii="Times New Roman" w:hAnsi="Times New Roman" w:cs="Times New Roman"/>
                <w:sz w:val="20"/>
                <w:szCs w:val="20"/>
              </w:rPr>
            </w:pPr>
            <w:r w:rsidRPr="00AF0804">
              <w:rPr>
                <w:rFonts w:ascii="Times New Roman" w:hAnsi="Times New Roman" w:cs="Times New Roman"/>
                <w:sz w:val="20"/>
                <w:szCs w:val="20"/>
              </w:rPr>
              <w:t>Hedonic</w:t>
            </w:r>
            <w:r w:rsidR="00D24654">
              <w:rPr>
                <w:rFonts w:ascii="Times New Roman" w:hAnsi="Times New Roman" w:cs="Times New Roman"/>
                <w:sz w:val="20"/>
                <w:szCs w:val="20"/>
              </w:rPr>
              <w:t xml:space="preserve"> Shopping</w:t>
            </w:r>
            <w:r w:rsidRPr="00AF0804">
              <w:rPr>
                <w:rFonts w:ascii="Times New Roman" w:hAnsi="Times New Roman" w:cs="Times New Roman"/>
                <w:sz w:val="20"/>
                <w:szCs w:val="20"/>
              </w:rPr>
              <w:t xml:space="preserve"> Value</w:t>
            </w:r>
          </w:p>
        </w:tc>
        <w:tc>
          <w:tcPr>
            <w:tcW w:w="1227" w:type="dxa"/>
            <w:tcBorders>
              <w:top w:val="single" w:sz="4" w:space="0" w:color="auto"/>
              <w:bottom w:val="single" w:sz="4" w:space="0" w:color="auto"/>
            </w:tcBorders>
          </w:tcPr>
          <w:p w14:paraId="0C3E897C" w14:textId="77777777" w:rsidR="00507E0B" w:rsidRPr="00AF0804" w:rsidRDefault="00507E0B" w:rsidP="0089365A">
            <w:pPr>
              <w:jc w:val="center"/>
              <w:rPr>
                <w:rFonts w:ascii="Times New Roman" w:hAnsi="Times New Roman" w:cs="Times New Roman"/>
                <w:sz w:val="20"/>
                <w:szCs w:val="20"/>
              </w:rPr>
            </w:pPr>
            <w:r w:rsidRPr="00AF0804">
              <w:rPr>
                <w:rFonts w:ascii="Times New Roman" w:hAnsi="Times New Roman" w:cs="Times New Roman"/>
                <w:sz w:val="20"/>
                <w:szCs w:val="20"/>
              </w:rPr>
              <w:t>Uniqueness Value</w:t>
            </w:r>
          </w:p>
        </w:tc>
        <w:tc>
          <w:tcPr>
            <w:tcW w:w="1264" w:type="dxa"/>
            <w:tcBorders>
              <w:top w:val="single" w:sz="4" w:space="0" w:color="auto"/>
              <w:bottom w:val="single" w:sz="4" w:space="0" w:color="auto"/>
            </w:tcBorders>
          </w:tcPr>
          <w:p w14:paraId="562D0C3F" w14:textId="77777777" w:rsidR="00507E0B" w:rsidRPr="00AF0804" w:rsidRDefault="00507E0B" w:rsidP="0089365A">
            <w:pPr>
              <w:jc w:val="center"/>
              <w:rPr>
                <w:rFonts w:ascii="Times New Roman" w:hAnsi="Times New Roman" w:cs="Times New Roman"/>
                <w:sz w:val="20"/>
                <w:szCs w:val="20"/>
              </w:rPr>
            </w:pPr>
            <w:r w:rsidRPr="00AF0804">
              <w:rPr>
                <w:rFonts w:ascii="Times New Roman" w:hAnsi="Times New Roman" w:cs="Times New Roman"/>
                <w:sz w:val="20"/>
                <w:szCs w:val="20"/>
              </w:rPr>
              <w:t>Store Atmosphere</w:t>
            </w:r>
          </w:p>
        </w:tc>
        <w:tc>
          <w:tcPr>
            <w:tcW w:w="3041" w:type="dxa"/>
            <w:tcBorders>
              <w:top w:val="single" w:sz="4" w:space="0" w:color="auto"/>
              <w:bottom w:val="single" w:sz="4" w:space="0" w:color="auto"/>
            </w:tcBorders>
          </w:tcPr>
          <w:p w14:paraId="193BC18E" w14:textId="77777777" w:rsidR="00507E0B" w:rsidRPr="00AF0804" w:rsidRDefault="00507E0B" w:rsidP="004A56E7">
            <w:pPr>
              <w:rPr>
                <w:rFonts w:ascii="Times New Roman" w:hAnsi="Times New Roman" w:cs="Times New Roman"/>
                <w:sz w:val="20"/>
                <w:szCs w:val="20"/>
              </w:rPr>
            </w:pPr>
            <w:r w:rsidRPr="00AF0804">
              <w:rPr>
                <w:rFonts w:ascii="Times New Roman" w:hAnsi="Times New Roman" w:cs="Times New Roman"/>
                <w:sz w:val="20"/>
                <w:szCs w:val="20"/>
              </w:rPr>
              <w:t>Findings</w:t>
            </w:r>
          </w:p>
        </w:tc>
      </w:tr>
      <w:tr w:rsidR="004A56E7" w:rsidRPr="00AF0804" w14:paraId="3D1099C3" w14:textId="77777777" w:rsidTr="00D514C3">
        <w:trPr>
          <w:trHeight w:val="206"/>
          <w:jc w:val="center"/>
        </w:trPr>
        <w:tc>
          <w:tcPr>
            <w:tcW w:w="1231" w:type="dxa"/>
            <w:tcBorders>
              <w:top w:val="single" w:sz="4" w:space="0" w:color="auto"/>
            </w:tcBorders>
          </w:tcPr>
          <w:p w14:paraId="6CFFDBC5" w14:textId="77777777" w:rsidR="00507E0B" w:rsidRPr="00AF0804" w:rsidRDefault="00507E0B" w:rsidP="0089365A">
            <w:pPr>
              <w:rPr>
                <w:rFonts w:ascii="Times New Roman" w:hAnsi="Times New Roman" w:cs="Times New Roman"/>
                <w:sz w:val="20"/>
                <w:szCs w:val="20"/>
              </w:rPr>
            </w:pPr>
          </w:p>
        </w:tc>
        <w:tc>
          <w:tcPr>
            <w:tcW w:w="1450" w:type="dxa"/>
            <w:tcBorders>
              <w:top w:val="single" w:sz="4" w:space="0" w:color="auto"/>
            </w:tcBorders>
          </w:tcPr>
          <w:p w14:paraId="2E9EF5D3" w14:textId="77777777" w:rsidR="00507E0B" w:rsidRPr="00AF0804" w:rsidRDefault="00507E0B" w:rsidP="0089365A">
            <w:pPr>
              <w:rPr>
                <w:rFonts w:ascii="Times New Roman" w:hAnsi="Times New Roman" w:cs="Times New Roman"/>
                <w:sz w:val="20"/>
                <w:szCs w:val="20"/>
              </w:rPr>
            </w:pPr>
          </w:p>
        </w:tc>
        <w:tc>
          <w:tcPr>
            <w:tcW w:w="1147" w:type="dxa"/>
            <w:tcBorders>
              <w:top w:val="single" w:sz="4" w:space="0" w:color="auto"/>
            </w:tcBorders>
          </w:tcPr>
          <w:p w14:paraId="234970CD" w14:textId="77777777" w:rsidR="00507E0B" w:rsidRPr="00AF0804" w:rsidRDefault="00507E0B" w:rsidP="0089365A">
            <w:pPr>
              <w:rPr>
                <w:rFonts w:ascii="Times New Roman" w:hAnsi="Times New Roman" w:cs="Times New Roman"/>
                <w:sz w:val="20"/>
                <w:szCs w:val="20"/>
              </w:rPr>
            </w:pPr>
          </w:p>
        </w:tc>
        <w:tc>
          <w:tcPr>
            <w:tcW w:w="1227" w:type="dxa"/>
            <w:tcBorders>
              <w:top w:val="single" w:sz="4" w:space="0" w:color="auto"/>
            </w:tcBorders>
          </w:tcPr>
          <w:p w14:paraId="53793772" w14:textId="77777777" w:rsidR="00507E0B" w:rsidRPr="00AF0804" w:rsidRDefault="00507E0B" w:rsidP="0089365A">
            <w:pPr>
              <w:rPr>
                <w:rFonts w:ascii="Times New Roman" w:hAnsi="Times New Roman" w:cs="Times New Roman"/>
                <w:sz w:val="20"/>
                <w:szCs w:val="20"/>
              </w:rPr>
            </w:pPr>
          </w:p>
        </w:tc>
        <w:tc>
          <w:tcPr>
            <w:tcW w:w="1264" w:type="dxa"/>
            <w:tcBorders>
              <w:top w:val="single" w:sz="4" w:space="0" w:color="auto"/>
            </w:tcBorders>
          </w:tcPr>
          <w:p w14:paraId="6C50FB7C" w14:textId="77777777" w:rsidR="00507E0B" w:rsidRPr="00AF0804" w:rsidRDefault="00507E0B" w:rsidP="0089365A">
            <w:pPr>
              <w:rPr>
                <w:rFonts w:ascii="Times New Roman" w:hAnsi="Times New Roman" w:cs="Times New Roman"/>
                <w:sz w:val="20"/>
                <w:szCs w:val="20"/>
              </w:rPr>
            </w:pPr>
          </w:p>
        </w:tc>
        <w:tc>
          <w:tcPr>
            <w:tcW w:w="3041" w:type="dxa"/>
            <w:tcBorders>
              <w:top w:val="single" w:sz="4" w:space="0" w:color="auto"/>
            </w:tcBorders>
          </w:tcPr>
          <w:p w14:paraId="79CCB389" w14:textId="77777777" w:rsidR="00507E0B" w:rsidRPr="00AF0804" w:rsidRDefault="00507E0B" w:rsidP="004A56E7">
            <w:pPr>
              <w:rPr>
                <w:rFonts w:ascii="Times New Roman" w:hAnsi="Times New Roman" w:cs="Times New Roman"/>
                <w:sz w:val="20"/>
                <w:szCs w:val="20"/>
              </w:rPr>
            </w:pPr>
          </w:p>
        </w:tc>
      </w:tr>
      <w:tr w:rsidR="004A56E7" w:rsidRPr="00AF0804" w14:paraId="09D0C3EB" w14:textId="77777777" w:rsidTr="00D514C3">
        <w:trPr>
          <w:trHeight w:val="427"/>
          <w:jc w:val="center"/>
        </w:trPr>
        <w:tc>
          <w:tcPr>
            <w:tcW w:w="1231" w:type="dxa"/>
          </w:tcPr>
          <w:p w14:paraId="40E7A595" w14:textId="77777777" w:rsidR="00507E0B" w:rsidRPr="00AF0804" w:rsidRDefault="00507E0B" w:rsidP="0089365A">
            <w:pPr>
              <w:jc w:val="center"/>
              <w:rPr>
                <w:rFonts w:ascii="Times New Roman" w:hAnsi="Times New Roman" w:cs="Times New Roman"/>
                <w:sz w:val="20"/>
                <w:szCs w:val="20"/>
              </w:rPr>
            </w:pPr>
            <w:r w:rsidRPr="00AF0804">
              <w:rPr>
                <w:rFonts w:ascii="Times New Roman" w:hAnsi="Times New Roman" w:cs="Times New Roman"/>
                <w:sz w:val="20"/>
                <w:szCs w:val="20"/>
              </w:rPr>
              <w:fldChar w:fldCharType="begin" w:fldLock="1"/>
            </w:r>
            <w:r w:rsidRPr="00AF0804">
              <w:rPr>
                <w:rFonts w:ascii="Times New Roman" w:hAnsi="Times New Roman" w:cs="Times New Roman"/>
                <w:sz w:val="20"/>
                <w:szCs w:val="20"/>
              </w:rPr>
              <w:instrText>ADDIN CSL_CITATION {"citationItems":[{"id":"ITEM-1","itemData":{"DOI":"10.1086/425101","ISSN":"00935301","abstract":"Spectacular, themed environments have been theorized as places where play is limited and consumer agency is overpowered. In a multiperspectival ethnographic engagement with ESPN Zone Chicago, we find consumers resisting the rules, but only to a limited degree. Spectacular consumption possesses a do-it-yourself quality unrecognized in prior theory. Technology and screens are important to this form of play, which exhibits a transcendent character built of liminoid elements and consumer fantasy. Yet, even in ostensibly overpowering spectacular consumption environments, consumption still is negotiated dialectically; consumer and producer interests are embedded in one another in a process of \"interagency.\".","author":[{"dropping-particle":"V.","family":"Kozinets","given":"Robert","non-dropping-particle":"","parse-names":false,"suffix":""},{"dropping-particle":"","family":"Sherry","given":"John F.","non-dropping-particle":"","parse-names":false,"suffix":""},{"dropping-particle":"","family":"Storm","given":"Diana","non-dropping-particle":"","parse-names":false,"suffix":""},{"dropping-particle":"","family":"Duhachek","given":"Adam","non-dropping-particle":"","parse-names":false,"suffix":""},{"dropping-particle":"","family":"Nuttavuthisit","given":"Krittinee","non-dropping-particle":"","parse-names":false,"suffix":""},{"dropping-particle":"","family":"DeBerry-Spence","given":"Benét","non-dropping-particle":"","parse-names":false,"suffix":""}],"container-title":"Journal of Consumer Research","id":"ITEM-1","issued":{"date-parts":[["2004"]]},"title":"Ludic agency and retail spectacle","type":"article-journal"},"uris":["http://www.mendeley.com/documents/?uuid=6d2d17da-fbf0-428f-b849-062bad101b57"]}],"mendeley":{"formattedCitation":"(Kozinets et al., 2004)","plainTextFormattedCitation":"(Kozinets et al., 2004)","previouslyFormattedCitation":"(Kozinets et al., 2004)"},"properties":{"noteIndex":0},"schema":"https://github.com/citation-style-language/schema/raw/master/csl-citation.json"}</w:instrText>
            </w:r>
            <w:r w:rsidRPr="00AF0804">
              <w:rPr>
                <w:rFonts w:ascii="Times New Roman" w:hAnsi="Times New Roman" w:cs="Times New Roman"/>
                <w:sz w:val="20"/>
                <w:szCs w:val="20"/>
              </w:rPr>
              <w:fldChar w:fldCharType="separate"/>
            </w:r>
            <w:r w:rsidRPr="00AF0804">
              <w:rPr>
                <w:rFonts w:ascii="Times New Roman" w:hAnsi="Times New Roman" w:cs="Times New Roman"/>
                <w:noProof/>
                <w:sz w:val="20"/>
                <w:szCs w:val="20"/>
              </w:rPr>
              <w:t>(Kozinets et al., 2004)</w:t>
            </w:r>
            <w:r w:rsidRPr="00AF0804">
              <w:rPr>
                <w:rFonts w:ascii="Times New Roman" w:hAnsi="Times New Roman" w:cs="Times New Roman"/>
                <w:sz w:val="20"/>
                <w:szCs w:val="20"/>
              </w:rPr>
              <w:fldChar w:fldCharType="end"/>
            </w:r>
          </w:p>
        </w:tc>
        <w:tc>
          <w:tcPr>
            <w:tcW w:w="1450" w:type="dxa"/>
          </w:tcPr>
          <w:p w14:paraId="11C81382" w14:textId="77777777" w:rsidR="00507E0B" w:rsidRPr="00AF0804" w:rsidRDefault="00507E0B" w:rsidP="0089365A">
            <w:pPr>
              <w:jc w:val="center"/>
              <w:rPr>
                <w:rFonts w:ascii="Times New Roman" w:hAnsi="Times New Roman" w:cs="Times New Roman"/>
                <w:sz w:val="20"/>
                <w:szCs w:val="20"/>
              </w:rPr>
            </w:pPr>
            <w:r w:rsidRPr="00AF0804">
              <w:rPr>
                <w:rFonts w:ascii="Times New Roman" w:hAnsi="Times New Roman" w:cs="Times New Roman"/>
                <w:sz w:val="20"/>
                <w:szCs w:val="20"/>
              </w:rPr>
              <w:t>Themed flagship brand stores</w:t>
            </w:r>
          </w:p>
        </w:tc>
        <w:tc>
          <w:tcPr>
            <w:tcW w:w="1147" w:type="dxa"/>
          </w:tcPr>
          <w:p w14:paraId="43A1158D" w14:textId="77777777" w:rsidR="00507E0B" w:rsidRPr="00AF0804" w:rsidRDefault="00507E0B" w:rsidP="0089365A">
            <w:pPr>
              <w:jc w:val="center"/>
              <w:rPr>
                <w:rFonts w:ascii="Times New Roman" w:hAnsi="Times New Roman" w:cs="Times New Roman"/>
                <w:sz w:val="20"/>
                <w:szCs w:val="20"/>
              </w:rPr>
            </w:pPr>
            <w:r w:rsidRPr="00AF0804">
              <w:rPr>
                <w:rFonts w:ascii="Times New Roman" w:hAnsi="Times New Roman" w:cs="Times New Roman"/>
                <w:sz w:val="20"/>
                <w:szCs w:val="20"/>
              </w:rPr>
              <w:t>×</w:t>
            </w:r>
          </w:p>
        </w:tc>
        <w:tc>
          <w:tcPr>
            <w:tcW w:w="1227" w:type="dxa"/>
          </w:tcPr>
          <w:p w14:paraId="15C4AC53" w14:textId="77777777" w:rsidR="00507E0B" w:rsidRPr="00AF0804" w:rsidRDefault="00507E0B" w:rsidP="0089365A">
            <w:pPr>
              <w:jc w:val="center"/>
              <w:rPr>
                <w:rFonts w:ascii="Times New Roman" w:hAnsi="Times New Roman" w:cs="Times New Roman"/>
                <w:sz w:val="20"/>
                <w:szCs w:val="20"/>
              </w:rPr>
            </w:pPr>
            <w:r w:rsidRPr="00AF0804">
              <w:rPr>
                <w:rFonts w:ascii="Times New Roman" w:hAnsi="Times New Roman" w:cs="Times New Roman"/>
                <w:sz w:val="20"/>
                <w:szCs w:val="20"/>
              </w:rPr>
              <w:t>×</w:t>
            </w:r>
          </w:p>
        </w:tc>
        <w:tc>
          <w:tcPr>
            <w:tcW w:w="1264" w:type="dxa"/>
          </w:tcPr>
          <w:p w14:paraId="3513A76C" w14:textId="77777777" w:rsidR="00507E0B" w:rsidRPr="00AF0804" w:rsidRDefault="00507E0B" w:rsidP="0089365A">
            <w:pPr>
              <w:jc w:val="center"/>
              <w:rPr>
                <w:rFonts w:ascii="Times New Roman" w:hAnsi="Times New Roman" w:cs="Times New Roman"/>
                <w:sz w:val="20"/>
                <w:szCs w:val="20"/>
              </w:rPr>
            </w:pPr>
            <w:r w:rsidRPr="00AF0804">
              <w:rPr>
                <w:rFonts w:ascii="Times New Roman" w:hAnsi="Times New Roman" w:cs="Times New Roman"/>
                <w:sz w:val="20"/>
                <w:szCs w:val="20"/>
              </w:rPr>
              <w:t>×</w:t>
            </w:r>
          </w:p>
        </w:tc>
        <w:tc>
          <w:tcPr>
            <w:tcW w:w="3041" w:type="dxa"/>
          </w:tcPr>
          <w:p w14:paraId="4E0AA7B6" w14:textId="77777777" w:rsidR="00507E0B" w:rsidRPr="00AF0804" w:rsidRDefault="00507E0B" w:rsidP="004A56E7">
            <w:pPr>
              <w:rPr>
                <w:rFonts w:ascii="Times New Roman" w:hAnsi="Times New Roman" w:cs="Times New Roman"/>
                <w:sz w:val="20"/>
                <w:szCs w:val="20"/>
              </w:rPr>
            </w:pPr>
            <w:r w:rsidRPr="00AF0804">
              <w:rPr>
                <w:rFonts w:ascii="Times New Roman" w:hAnsi="Times New Roman" w:cs="Times New Roman"/>
                <w:sz w:val="20"/>
                <w:szCs w:val="20"/>
              </w:rPr>
              <w:t>Spectacular themed  stores offering unique consumption experiences</w:t>
            </w:r>
          </w:p>
        </w:tc>
      </w:tr>
      <w:tr w:rsidR="004A56E7" w:rsidRPr="00AF0804" w14:paraId="3E70EFBB" w14:textId="77777777" w:rsidTr="00D514C3">
        <w:trPr>
          <w:trHeight w:val="427"/>
          <w:jc w:val="center"/>
        </w:trPr>
        <w:tc>
          <w:tcPr>
            <w:tcW w:w="1231" w:type="dxa"/>
          </w:tcPr>
          <w:p w14:paraId="28F8B6D6" w14:textId="77777777" w:rsidR="00507E0B" w:rsidRPr="00AF0804" w:rsidRDefault="00507E0B" w:rsidP="0089365A">
            <w:pPr>
              <w:jc w:val="center"/>
              <w:rPr>
                <w:rFonts w:ascii="Times New Roman" w:hAnsi="Times New Roman" w:cs="Times New Roman"/>
                <w:sz w:val="20"/>
                <w:szCs w:val="20"/>
              </w:rPr>
            </w:pPr>
          </w:p>
        </w:tc>
        <w:tc>
          <w:tcPr>
            <w:tcW w:w="1450" w:type="dxa"/>
          </w:tcPr>
          <w:p w14:paraId="688AE683" w14:textId="3569AE44" w:rsidR="00507E0B" w:rsidRPr="00AF0804" w:rsidRDefault="00507E0B" w:rsidP="0089365A">
            <w:pPr>
              <w:jc w:val="center"/>
              <w:rPr>
                <w:rFonts w:ascii="Times New Roman" w:hAnsi="Times New Roman" w:cs="Times New Roman"/>
                <w:sz w:val="20"/>
                <w:szCs w:val="20"/>
              </w:rPr>
            </w:pPr>
          </w:p>
        </w:tc>
        <w:tc>
          <w:tcPr>
            <w:tcW w:w="1147" w:type="dxa"/>
          </w:tcPr>
          <w:p w14:paraId="33BA2754" w14:textId="77777777" w:rsidR="00507E0B" w:rsidRPr="00AF0804" w:rsidRDefault="00507E0B" w:rsidP="0089365A">
            <w:pPr>
              <w:jc w:val="center"/>
              <w:rPr>
                <w:rFonts w:ascii="Times New Roman" w:hAnsi="Times New Roman" w:cs="Times New Roman"/>
                <w:sz w:val="20"/>
                <w:szCs w:val="20"/>
              </w:rPr>
            </w:pPr>
          </w:p>
        </w:tc>
        <w:tc>
          <w:tcPr>
            <w:tcW w:w="1227" w:type="dxa"/>
          </w:tcPr>
          <w:p w14:paraId="07837F09" w14:textId="77777777" w:rsidR="00507E0B" w:rsidRPr="00AF0804" w:rsidRDefault="00507E0B" w:rsidP="0089365A">
            <w:pPr>
              <w:jc w:val="center"/>
              <w:rPr>
                <w:rFonts w:ascii="Times New Roman" w:hAnsi="Times New Roman" w:cs="Times New Roman"/>
                <w:sz w:val="20"/>
                <w:szCs w:val="20"/>
              </w:rPr>
            </w:pPr>
          </w:p>
        </w:tc>
        <w:tc>
          <w:tcPr>
            <w:tcW w:w="1264" w:type="dxa"/>
          </w:tcPr>
          <w:p w14:paraId="5AAD349D" w14:textId="77777777" w:rsidR="00507E0B" w:rsidRPr="00AF0804" w:rsidRDefault="00507E0B" w:rsidP="0089365A">
            <w:pPr>
              <w:jc w:val="center"/>
              <w:rPr>
                <w:rFonts w:ascii="Times New Roman" w:hAnsi="Times New Roman" w:cs="Times New Roman"/>
                <w:sz w:val="20"/>
                <w:szCs w:val="20"/>
              </w:rPr>
            </w:pPr>
          </w:p>
        </w:tc>
        <w:tc>
          <w:tcPr>
            <w:tcW w:w="3041" w:type="dxa"/>
          </w:tcPr>
          <w:p w14:paraId="41C85BA7" w14:textId="77777777" w:rsidR="00507E0B" w:rsidRPr="00AF0804" w:rsidRDefault="00507E0B" w:rsidP="004A56E7">
            <w:pPr>
              <w:rPr>
                <w:rFonts w:ascii="Times New Roman" w:hAnsi="Times New Roman" w:cs="Times New Roman"/>
                <w:sz w:val="20"/>
                <w:szCs w:val="20"/>
              </w:rPr>
            </w:pPr>
          </w:p>
        </w:tc>
      </w:tr>
      <w:tr w:rsidR="004A56E7" w:rsidRPr="00AF0804" w14:paraId="474C057A" w14:textId="77777777" w:rsidTr="00D514C3">
        <w:trPr>
          <w:trHeight w:val="634"/>
          <w:jc w:val="center"/>
        </w:trPr>
        <w:tc>
          <w:tcPr>
            <w:tcW w:w="1231" w:type="dxa"/>
          </w:tcPr>
          <w:p w14:paraId="0DA9BF84" w14:textId="77777777" w:rsidR="00507E0B" w:rsidRPr="00AF0804" w:rsidRDefault="00507E0B" w:rsidP="0089365A">
            <w:pPr>
              <w:jc w:val="center"/>
              <w:rPr>
                <w:rFonts w:ascii="Times New Roman" w:hAnsi="Times New Roman" w:cs="Times New Roman"/>
                <w:sz w:val="20"/>
                <w:szCs w:val="20"/>
              </w:rPr>
            </w:pPr>
            <w:r w:rsidRPr="00AF0804">
              <w:rPr>
                <w:rFonts w:ascii="Times New Roman" w:hAnsi="Times New Roman" w:cs="Times New Roman"/>
                <w:sz w:val="20"/>
                <w:szCs w:val="20"/>
              </w:rPr>
              <w:fldChar w:fldCharType="begin" w:fldLock="1"/>
            </w:r>
            <w:r w:rsidRPr="00AF0804">
              <w:rPr>
                <w:rFonts w:ascii="Times New Roman" w:hAnsi="Times New Roman" w:cs="Times New Roman"/>
                <w:sz w:val="20"/>
                <w:szCs w:val="20"/>
              </w:rPr>
              <w:instrText>ADDIN CSL_CITATION {"citationItems":[{"id":"ITEM-1","itemData":{"DOI":"10.1108/09590551011020138","ISSN":"0959-0552","abstract":"Purpose: The purpose of this paper is to explore relationships between consumer innovativeness, market mavenism, shopping enjoyment, and beliefs, attitude, and patronage intentions toward pop-up retail. Design/methodology/approach: A survey technique using a national sample of consumers resulted in 869 usable responses. Structural equation modeling is used to test the hypothesized relationships among variables. Findings: Findings show that consumer innovativeness and shopping enjoyment influence beliefs about the importance of hedonic elements of pop-up retail (novelty/uniqueness factor) and attitude toward pop-up retail, which affects patronage intentions. Practical implications: Findings provide support for the effectiveness of pop-up retail, an experiential marketing strategy, at enhancing the appeal of a retail venue to consumers exhibiting higher tendencies in innovativeness and shopping. Originality/value: This paper provides an investigation of consumer psychographic characteristics and their effect on attitude and behavioral intentions towards a new experiential marketing format, pop-up retail. This paper demonstrates empirically how consumer innovativeness and shopping enjoyment, noted as growing tendencies among consumers, affect beliefs, attitude, and behavioral intentions towards pop-up retail. © Emerald Group Publishing Limited.","author":[{"dropping-particle":"","family":"Kim","given":"Hyejeong","non-dropping-particle":"","parse-names":false,"suffix":""},{"dropping-particle":"","family":"Fiore","given":"Ann Marie","non-dropping-particle":"","parse-names":false,"suffix":""},{"dropping-particle":"","family":"Niehm","given":"Linda S.","non-dropping-particle":"","parse-names":false,"suffix":""},{"dropping-particle":"","family":"Jeong","given":"Miyoung","non-dropping-particle":"","parse-names":false,"suffix":""}],"container-title":"International Journal of Retail &amp; Distribution Management","id":"ITEM-1","issue":"2","issued":{"date-parts":[["2010","2","16"]]},"page":"133-154","title":"Psychographic characteristics affecting behavioral intentions towards pop‐up retail","type":"article-journal","volume":"38"},"uris":["http://www.mendeley.com/documents/?uuid=ae5dcfee-24e6-4ad9-9565-8d8b8c54d394"]}],"mendeley":{"formattedCitation":"(H. Kim et al., 2010)","plainTextFormattedCitation":"(H. Kim et al., 2010)","previouslyFormattedCitation":"(H. Kim et al., 2010)"},"properties":{"noteIndex":0},"schema":"https://github.com/citation-style-language/schema/raw/master/csl-citation.json"}</w:instrText>
            </w:r>
            <w:r w:rsidRPr="00AF0804">
              <w:rPr>
                <w:rFonts w:ascii="Times New Roman" w:hAnsi="Times New Roman" w:cs="Times New Roman"/>
                <w:sz w:val="20"/>
                <w:szCs w:val="20"/>
              </w:rPr>
              <w:fldChar w:fldCharType="separate"/>
            </w:r>
            <w:r w:rsidRPr="00AF0804">
              <w:rPr>
                <w:rFonts w:ascii="Times New Roman" w:hAnsi="Times New Roman" w:cs="Times New Roman"/>
                <w:noProof/>
                <w:sz w:val="20"/>
                <w:szCs w:val="20"/>
              </w:rPr>
              <w:t>(H. Kim et al., 2010)</w:t>
            </w:r>
            <w:r w:rsidRPr="00AF0804">
              <w:rPr>
                <w:rFonts w:ascii="Times New Roman" w:hAnsi="Times New Roman" w:cs="Times New Roman"/>
                <w:sz w:val="20"/>
                <w:szCs w:val="20"/>
              </w:rPr>
              <w:fldChar w:fldCharType="end"/>
            </w:r>
          </w:p>
        </w:tc>
        <w:tc>
          <w:tcPr>
            <w:tcW w:w="1450" w:type="dxa"/>
          </w:tcPr>
          <w:p w14:paraId="4424D19E" w14:textId="77777777" w:rsidR="00507E0B" w:rsidRPr="00AF0804" w:rsidRDefault="00507E0B" w:rsidP="0089365A">
            <w:pPr>
              <w:jc w:val="center"/>
              <w:rPr>
                <w:rFonts w:ascii="Times New Roman" w:hAnsi="Times New Roman" w:cs="Times New Roman"/>
                <w:sz w:val="20"/>
                <w:szCs w:val="20"/>
              </w:rPr>
            </w:pPr>
            <w:r w:rsidRPr="00AF0804">
              <w:rPr>
                <w:rFonts w:ascii="Times New Roman" w:hAnsi="Times New Roman" w:cs="Times New Roman"/>
                <w:sz w:val="20"/>
                <w:szCs w:val="20"/>
              </w:rPr>
              <w:t>Popup retail stores</w:t>
            </w:r>
          </w:p>
        </w:tc>
        <w:tc>
          <w:tcPr>
            <w:tcW w:w="1147" w:type="dxa"/>
          </w:tcPr>
          <w:p w14:paraId="538A69BF" w14:textId="77777777" w:rsidR="00507E0B" w:rsidRPr="00AF0804" w:rsidRDefault="00507E0B" w:rsidP="0089365A">
            <w:pPr>
              <w:jc w:val="center"/>
              <w:rPr>
                <w:rFonts w:ascii="Times New Roman" w:hAnsi="Times New Roman" w:cs="Times New Roman"/>
                <w:sz w:val="20"/>
                <w:szCs w:val="20"/>
              </w:rPr>
            </w:pPr>
            <w:r w:rsidRPr="00AF0804">
              <w:rPr>
                <w:rFonts w:ascii="Times New Roman" w:hAnsi="Times New Roman" w:cs="Times New Roman"/>
                <w:sz w:val="20"/>
                <w:szCs w:val="20"/>
              </w:rPr>
              <w:t>×</w:t>
            </w:r>
          </w:p>
        </w:tc>
        <w:tc>
          <w:tcPr>
            <w:tcW w:w="1227" w:type="dxa"/>
          </w:tcPr>
          <w:p w14:paraId="0007ABF1" w14:textId="77777777" w:rsidR="00507E0B" w:rsidRPr="00AF0804" w:rsidRDefault="00507E0B" w:rsidP="0089365A">
            <w:pPr>
              <w:jc w:val="center"/>
              <w:rPr>
                <w:rFonts w:ascii="Times New Roman" w:hAnsi="Times New Roman" w:cs="Times New Roman"/>
                <w:sz w:val="20"/>
                <w:szCs w:val="20"/>
              </w:rPr>
            </w:pPr>
            <w:r w:rsidRPr="00AF0804">
              <w:rPr>
                <w:rFonts w:ascii="Times New Roman" w:hAnsi="Times New Roman" w:cs="Times New Roman"/>
                <w:sz w:val="20"/>
                <w:szCs w:val="20"/>
              </w:rPr>
              <w:t>×</w:t>
            </w:r>
          </w:p>
        </w:tc>
        <w:tc>
          <w:tcPr>
            <w:tcW w:w="1264" w:type="dxa"/>
          </w:tcPr>
          <w:p w14:paraId="415BF113" w14:textId="77777777" w:rsidR="00507E0B" w:rsidRPr="00AF0804" w:rsidRDefault="00507E0B" w:rsidP="0089365A">
            <w:pPr>
              <w:jc w:val="center"/>
              <w:rPr>
                <w:rFonts w:ascii="Times New Roman" w:hAnsi="Times New Roman" w:cs="Times New Roman"/>
                <w:sz w:val="20"/>
                <w:szCs w:val="20"/>
              </w:rPr>
            </w:pPr>
            <w:r w:rsidRPr="00AF0804">
              <w:rPr>
                <w:rFonts w:ascii="Times New Roman" w:hAnsi="Times New Roman" w:cs="Times New Roman"/>
                <w:sz w:val="20"/>
                <w:szCs w:val="20"/>
              </w:rPr>
              <w:t>×</w:t>
            </w:r>
          </w:p>
        </w:tc>
        <w:tc>
          <w:tcPr>
            <w:tcW w:w="3041" w:type="dxa"/>
          </w:tcPr>
          <w:p w14:paraId="7F3C4C67" w14:textId="77777777" w:rsidR="00507E0B" w:rsidRPr="00AF0804" w:rsidRDefault="00507E0B" w:rsidP="004A56E7">
            <w:pPr>
              <w:rPr>
                <w:rFonts w:ascii="Times New Roman" w:hAnsi="Times New Roman" w:cs="Times New Roman"/>
                <w:sz w:val="20"/>
                <w:szCs w:val="20"/>
              </w:rPr>
            </w:pPr>
            <w:r w:rsidRPr="00AF0804">
              <w:rPr>
                <w:rFonts w:ascii="Times New Roman" w:hAnsi="Times New Roman" w:cs="Times New Roman"/>
                <w:sz w:val="20"/>
                <w:szCs w:val="20"/>
              </w:rPr>
              <w:t>Popup stores offer excitement, exclusivity, surprise, and engaging experiences.</w:t>
            </w:r>
          </w:p>
        </w:tc>
      </w:tr>
      <w:tr w:rsidR="004A56E7" w:rsidRPr="00AF0804" w14:paraId="61556EC7" w14:textId="77777777" w:rsidTr="00D514C3">
        <w:trPr>
          <w:trHeight w:val="1268"/>
          <w:jc w:val="center"/>
        </w:trPr>
        <w:tc>
          <w:tcPr>
            <w:tcW w:w="1231" w:type="dxa"/>
          </w:tcPr>
          <w:p w14:paraId="4A7AEF1D" w14:textId="77777777" w:rsidR="00507E0B" w:rsidRPr="00AF0804" w:rsidRDefault="00507E0B" w:rsidP="0089365A">
            <w:pPr>
              <w:jc w:val="center"/>
              <w:rPr>
                <w:rFonts w:ascii="Times New Roman" w:hAnsi="Times New Roman" w:cs="Times New Roman"/>
                <w:sz w:val="20"/>
                <w:szCs w:val="20"/>
              </w:rPr>
            </w:pPr>
            <w:r w:rsidRPr="00AF0804">
              <w:rPr>
                <w:rFonts w:ascii="Times New Roman" w:hAnsi="Times New Roman" w:cs="Times New Roman"/>
                <w:sz w:val="20"/>
                <w:szCs w:val="20"/>
              </w:rPr>
              <w:fldChar w:fldCharType="begin" w:fldLock="1"/>
            </w:r>
            <w:r w:rsidRPr="00AF0804">
              <w:rPr>
                <w:rFonts w:ascii="Times New Roman" w:hAnsi="Times New Roman" w:cs="Times New Roman"/>
                <w:sz w:val="20"/>
                <w:szCs w:val="20"/>
              </w:rPr>
              <w:instrText>ADDIN CSL_CITATION {"citationItems":[{"id":"ITEM-1","itemData":{"DOI":"10.1016/j.jretai.2013.06.003","ISSN":"00224359","abstract":"How can flagships and brand stores contribute to building brands? We inquire about the relationships between store image, brand experience, brand attitude, brand attachment and brand equity using store intercepts. We find that flagships, due to the powerful brand experiences they allow, have a stronger impact on brand attitude, brand attachment and brand equity compared to brand stores. We provide retail marketers with avenues to offer increased in-store brand experiences by appealing to consumers' emotions, senses, behaviors, and cognition. © 2013 New York University.","author":[{"dropping-particle":"","family":"Dolbec","given":"Pierre Yann","non-dropping-particle":"","parse-names":false,"suffix":""},{"dropping-particle":"","family":"Chebat","given":"Jean Charles","non-dropping-particle":"","parse-names":false,"suffix":""}],"container-title":"Journal of Retailing","id":"ITEM-1","issue":"4","issued":{"date-parts":[["2013"]]},"page":"460-466","title":"The Impact of a Flagship vs. a Brand Store on Brand Attitude, Brand Attachment and Brand Equity","type":"article-journal","volume":"89"},"uris":["http://www.mendeley.com/documents/?uuid=5adcd128-cdac-4c5b-a77d-63138e539dc0"]}],"mendeley":{"formattedCitation":"(Dolbec &amp; Chebat, 2013)","plainTextFormattedCitation":"(Dolbec &amp; Chebat, 2013)","previouslyFormattedCitation":"(Dolbec &amp; Chebat, 2013)"},"properties":{"noteIndex":0},"schema":"https://github.com/citation-style-language/schema/raw/master/csl-citation.json"}</w:instrText>
            </w:r>
            <w:r w:rsidRPr="00AF0804">
              <w:rPr>
                <w:rFonts w:ascii="Times New Roman" w:hAnsi="Times New Roman" w:cs="Times New Roman"/>
                <w:sz w:val="20"/>
                <w:szCs w:val="20"/>
              </w:rPr>
              <w:fldChar w:fldCharType="separate"/>
            </w:r>
            <w:r w:rsidRPr="00AF0804">
              <w:rPr>
                <w:rFonts w:ascii="Times New Roman" w:hAnsi="Times New Roman" w:cs="Times New Roman"/>
                <w:noProof/>
                <w:sz w:val="20"/>
                <w:szCs w:val="20"/>
              </w:rPr>
              <w:t>(Dolbec &amp; Chebat, 2013)</w:t>
            </w:r>
            <w:r w:rsidRPr="00AF0804">
              <w:rPr>
                <w:rFonts w:ascii="Times New Roman" w:hAnsi="Times New Roman" w:cs="Times New Roman"/>
                <w:sz w:val="20"/>
                <w:szCs w:val="20"/>
              </w:rPr>
              <w:fldChar w:fldCharType="end"/>
            </w:r>
          </w:p>
        </w:tc>
        <w:tc>
          <w:tcPr>
            <w:tcW w:w="1450" w:type="dxa"/>
          </w:tcPr>
          <w:p w14:paraId="6934048C" w14:textId="77777777" w:rsidR="00507E0B" w:rsidRPr="00AF0804" w:rsidRDefault="00507E0B" w:rsidP="0089365A">
            <w:pPr>
              <w:jc w:val="center"/>
              <w:rPr>
                <w:rFonts w:ascii="Times New Roman" w:hAnsi="Times New Roman" w:cs="Times New Roman"/>
                <w:sz w:val="20"/>
                <w:szCs w:val="20"/>
              </w:rPr>
            </w:pPr>
            <w:r w:rsidRPr="00AF0804">
              <w:rPr>
                <w:rFonts w:ascii="Times New Roman" w:hAnsi="Times New Roman" w:cs="Times New Roman"/>
                <w:sz w:val="20"/>
                <w:szCs w:val="20"/>
              </w:rPr>
              <w:t>Flagships vs  Brand stores</w:t>
            </w:r>
          </w:p>
        </w:tc>
        <w:tc>
          <w:tcPr>
            <w:tcW w:w="1147" w:type="dxa"/>
          </w:tcPr>
          <w:p w14:paraId="0B9F66F9" w14:textId="77777777" w:rsidR="00507E0B" w:rsidRPr="00AF0804" w:rsidRDefault="00507E0B" w:rsidP="0089365A">
            <w:pPr>
              <w:jc w:val="center"/>
              <w:rPr>
                <w:rFonts w:ascii="Times New Roman" w:hAnsi="Times New Roman" w:cs="Times New Roman"/>
                <w:sz w:val="20"/>
                <w:szCs w:val="20"/>
              </w:rPr>
            </w:pPr>
          </w:p>
        </w:tc>
        <w:tc>
          <w:tcPr>
            <w:tcW w:w="1227" w:type="dxa"/>
          </w:tcPr>
          <w:p w14:paraId="7D3E1873" w14:textId="77777777" w:rsidR="00507E0B" w:rsidRPr="00AF0804" w:rsidRDefault="00507E0B" w:rsidP="0089365A">
            <w:pPr>
              <w:jc w:val="center"/>
              <w:rPr>
                <w:rFonts w:ascii="Times New Roman" w:hAnsi="Times New Roman" w:cs="Times New Roman"/>
                <w:sz w:val="20"/>
                <w:szCs w:val="20"/>
              </w:rPr>
            </w:pPr>
          </w:p>
        </w:tc>
        <w:tc>
          <w:tcPr>
            <w:tcW w:w="1264" w:type="dxa"/>
          </w:tcPr>
          <w:p w14:paraId="523CE43E" w14:textId="77777777" w:rsidR="00507E0B" w:rsidRPr="00AF0804" w:rsidRDefault="00507E0B" w:rsidP="0089365A">
            <w:pPr>
              <w:jc w:val="center"/>
              <w:rPr>
                <w:rFonts w:ascii="Times New Roman" w:hAnsi="Times New Roman" w:cs="Times New Roman"/>
                <w:sz w:val="20"/>
                <w:szCs w:val="20"/>
              </w:rPr>
            </w:pPr>
            <w:r w:rsidRPr="00AF0804">
              <w:rPr>
                <w:rFonts w:ascii="Times New Roman" w:hAnsi="Times New Roman" w:cs="Times New Roman"/>
                <w:sz w:val="20"/>
                <w:szCs w:val="20"/>
              </w:rPr>
              <w:t>×</w:t>
            </w:r>
          </w:p>
        </w:tc>
        <w:tc>
          <w:tcPr>
            <w:tcW w:w="3041" w:type="dxa"/>
          </w:tcPr>
          <w:p w14:paraId="050D1118" w14:textId="03705167" w:rsidR="00507E0B" w:rsidRPr="00AF0804" w:rsidRDefault="00507E0B" w:rsidP="004A56E7">
            <w:pPr>
              <w:rPr>
                <w:rFonts w:ascii="Times New Roman" w:hAnsi="Times New Roman" w:cs="Times New Roman"/>
                <w:sz w:val="20"/>
                <w:szCs w:val="20"/>
              </w:rPr>
            </w:pPr>
            <w:r w:rsidRPr="00AF0804">
              <w:rPr>
                <w:rFonts w:ascii="Times New Roman" w:hAnsi="Times New Roman" w:cs="Times New Roman"/>
                <w:sz w:val="20"/>
                <w:szCs w:val="20"/>
              </w:rPr>
              <w:t>Store atmosphere is instrumental in creating an appropriate brand experience for the consumers with flagship stores providing more “anchoring points” as compared to brand stores.</w:t>
            </w:r>
          </w:p>
        </w:tc>
      </w:tr>
      <w:tr w:rsidR="004A56E7" w:rsidRPr="00AF0804" w14:paraId="0FD6A833" w14:textId="77777777" w:rsidTr="00D514C3">
        <w:trPr>
          <w:trHeight w:val="634"/>
          <w:jc w:val="center"/>
        </w:trPr>
        <w:tc>
          <w:tcPr>
            <w:tcW w:w="1231" w:type="dxa"/>
          </w:tcPr>
          <w:p w14:paraId="2587B6D0" w14:textId="77777777" w:rsidR="00507E0B" w:rsidRPr="00AF0804" w:rsidRDefault="00507E0B" w:rsidP="0089365A">
            <w:pPr>
              <w:jc w:val="center"/>
              <w:rPr>
                <w:rFonts w:ascii="Times New Roman" w:hAnsi="Times New Roman" w:cs="Times New Roman"/>
                <w:sz w:val="20"/>
                <w:szCs w:val="20"/>
              </w:rPr>
            </w:pPr>
            <w:r w:rsidRPr="00AF0804">
              <w:rPr>
                <w:rFonts w:ascii="Times New Roman" w:hAnsi="Times New Roman" w:cs="Times New Roman"/>
                <w:sz w:val="20"/>
                <w:szCs w:val="20"/>
              </w:rPr>
              <w:fldChar w:fldCharType="begin" w:fldLock="1"/>
            </w:r>
            <w:r>
              <w:rPr>
                <w:rFonts w:ascii="Times New Roman" w:hAnsi="Times New Roman" w:cs="Times New Roman"/>
                <w:sz w:val="20"/>
                <w:szCs w:val="20"/>
              </w:rPr>
              <w:instrText>ADDIN CSL_CITATION {"citationItems":[{"id":"ITEM-1","itemData":{"DOI":"10.15771/0949-8214_2016_1_12","ISSN":"0949-8214","abstract":"Die Lokalisierung in Innenräumen, die sich nicht auf Satellitennavigation wie GPS verlassen kann, ist nach wie vor eine Herausforderung. Viele Methoden zur Lokalisierung in Innenräumen beruhen auf Funksignalen oder anderen Sendern (z.B. Infrarot), die eine kostenintensive Infrastruktur erfordern, die in einem Gebäude installiert werden muss. Außerdem sind diese Techniken ungenau, wenn Reflexionen der Signale in einem Gebäude auftreten. Die Forschungsgruppe Telematik der TH Wildau hat für diese Problemstellung ein optisches Verfahren zur Innenraumlokalisierung entwickelt, das die Kamera eines mobilen Geräts verwendet. Dieser Ansatz erfordert nur die Verfügbarkeit von mehreren identifizierbaren Landmarken, die kostengünstig in einem Gebäude installiert werden können. In diesem Beitrag soll eine Möglichkeit vorgestellt werden, dieses landmarkenbasierte Verfahren mit der Augmented Reality-Bibliothek ARCore von Google zu erweitern, um eine kontinuierliche Positionsermittlung zu ermöglichen, auch wenn vorübergehend keine Landmarken durch die Gerätekamera erfasst ­werden können.","author":[{"dropping-particle":"","family":"Haas","given":"Sandra","non-dropping-particle":"","parse-names":false,"suffix":""},{"dropping-particle":"","family":"Schmidt","given":"Lisa","non-dropping-particle":"","parse-names":false,"suffix":""}],"container-title":"Wissenschaftliche Beiträge / Technische Hochschule Wildau","id":"ITEM-1","issue":"April","issued":{"date-parts":[["2016","3","21"]]},"page":"89-95","title":"What Drives the Success of Pop-Up Stores?","type":"article-journal","volume":"20"},"uris":["http://www.mendeley.com/documents/?uuid=a4d450f7-d6b1-4a48-870c-78b4fee75c75"]}],"mendeley":{"formattedCitation":"(Haas &amp; Schmidt, 2016)","plainTextFormattedCitation":"(Haas &amp; Schmidt, 2016)","previouslyFormattedCitation":"(Haas &amp; Schmidt, 2016)"},"properties":{"noteIndex":0},"schema":"https://github.com/citation-style-language/schema/raw/master/csl-citation.json"}</w:instrText>
            </w:r>
            <w:r w:rsidRPr="00AF0804">
              <w:rPr>
                <w:rFonts w:ascii="Times New Roman" w:hAnsi="Times New Roman" w:cs="Times New Roman"/>
                <w:sz w:val="20"/>
                <w:szCs w:val="20"/>
              </w:rPr>
              <w:fldChar w:fldCharType="separate"/>
            </w:r>
            <w:r w:rsidRPr="00AF0804">
              <w:rPr>
                <w:rFonts w:ascii="Times New Roman" w:hAnsi="Times New Roman" w:cs="Times New Roman"/>
                <w:noProof/>
                <w:sz w:val="20"/>
                <w:szCs w:val="20"/>
              </w:rPr>
              <w:t>(Haas &amp; Schmidt, 2016)</w:t>
            </w:r>
            <w:r w:rsidRPr="00AF0804">
              <w:rPr>
                <w:rFonts w:ascii="Times New Roman" w:hAnsi="Times New Roman" w:cs="Times New Roman"/>
                <w:sz w:val="20"/>
                <w:szCs w:val="20"/>
              </w:rPr>
              <w:fldChar w:fldCharType="end"/>
            </w:r>
          </w:p>
        </w:tc>
        <w:tc>
          <w:tcPr>
            <w:tcW w:w="1450" w:type="dxa"/>
          </w:tcPr>
          <w:p w14:paraId="627D2054" w14:textId="77777777" w:rsidR="00507E0B" w:rsidRPr="00AF0804" w:rsidRDefault="00507E0B" w:rsidP="0089365A">
            <w:pPr>
              <w:jc w:val="center"/>
              <w:rPr>
                <w:rFonts w:ascii="Times New Roman" w:hAnsi="Times New Roman" w:cs="Times New Roman"/>
                <w:sz w:val="20"/>
                <w:szCs w:val="20"/>
              </w:rPr>
            </w:pPr>
            <w:r>
              <w:rPr>
                <w:rFonts w:ascii="Times New Roman" w:hAnsi="Times New Roman" w:cs="Times New Roman"/>
                <w:sz w:val="20"/>
                <w:szCs w:val="20"/>
              </w:rPr>
              <w:t>Popup R</w:t>
            </w:r>
            <w:r w:rsidRPr="00AF0804">
              <w:rPr>
                <w:rFonts w:ascii="Times New Roman" w:hAnsi="Times New Roman" w:cs="Times New Roman"/>
                <w:sz w:val="20"/>
                <w:szCs w:val="20"/>
              </w:rPr>
              <w:t>etail stores</w:t>
            </w:r>
          </w:p>
        </w:tc>
        <w:tc>
          <w:tcPr>
            <w:tcW w:w="1147" w:type="dxa"/>
          </w:tcPr>
          <w:p w14:paraId="754E1D64" w14:textId="77777777" w:rsidR="00507E0B" w:rsidRPr="00AF0804" w:rsidRDefault="00507E0B" w:rsidP="0089365A">
            <w:pPr>
              <w:jc w:val="center"/>
              <w:rPr>
                <w:rFonts w:ascii="Times New Roman" w:hAnsi="Times New Roman" w:cs="Times New Roman"/>
                <w:sz w:val="20"/>
                <w:szCs w:val="20"/>
              </w:rPr>
            </w:pPr>
            <w:r w:rsidRPr="00AF0804">
              <w:rPr>
                <w:rFonts w:ascii="Times New Roman" w:hAnsi="Times New Roman" w:cs="Times New Roman"/>
                <w:sz w:val="20"/>
                <w:szCs w:val="20"/>
              </w:rPr>
              <w:t>×</w:t>
            </w:r>
          </w:p>
        </w:tc>
        <w:tc>
          <w:tcPr>
            <w:tcW w:w="1227" w:type="dxa"/>
          </w:tcPr>
          <w:p w14:paraId="50CA6E3A" w14:textId="77777777" w:rsidR="00507E0B" w:rsidRPr="00AF0804" w:rsidRDefault="00507E0B" w:rsidP="0089365A">
            <w:pPr>
              <w:jc w:val="center"/>
              <w:rPr>
                <w:rFonts w:ascii="Times New Roman" w:hAnsi="Times New Roman" w:cs="Times New Roman"/>
                <w:sz w:val="20"/>
                <w:szCs w:val="20"/>
              </w:rPr>
            </w:pPr>
            <w:r w:rsidRPr="00AF0804">
              <w:rPr>
                <w:rFonts w:ascii="Times New Roman" w:hAnsi="Times New Roman" w:cs="Times New Roman"/>
                <w:sz w:val="20"/>
                <w:szCs w:val="20"/>
              </w:rPr>
              <w:t>×</w:t>
            </w:r>
          </w:p>
        </w:tc>
        <w:tc>
          <w:tcPr>
            <w:tcW w:w="1264" w:type="dxa"/>
          </w:tcPr>
          <w:p w14:paraId="00F38C4D" w14:textId="77777777" w:rsidR="00507E0B" w:rsidRPr="00AF0804" w:rsidRDefault="00507E0B" w:rsidP="0089365A">
            <w:pPr>
              <w:jc w:val="center"/>
              <w:rPr>
                <w:rFonts w:ascii="Times New Roman" w:hAnsi="Times New Roman" w:cs="Times New Roman"/>
                <w:sz w:val="20"/>
                <w:szCs w:val="20"/>
              </w:rPr>
            </w:pPr>
            <w:r w:rsidRPr="00AF0804">
              <w:rPr>
                <w:rFonts w:ascii="Times New Roman" w:hAnsi="Times New Roman" w:cs="Times New Roman"/>
                <w:sz w:val="20"/>
                <w:szCs w:val="20"/>
              </w:rPr>
              <w:t>×</w:t>
            </w:r>
          </w:p>
        </w:tc>
        <w:tc>
          <w:tcPr>
            <w:tcW w:w="3041" w:type="dxa"/>
          </w:tcPr>
          <w:p w14:paraId="1A5A28A9" w14:textId="77777777" w:rsidR="00507E0B" w:rsidRPr="00AF0804" w:rsidRDefault="00507E0B" w:rsidP="004A56E7">
            <w:pPr>
              <w:rPr>
                <w:rFonts w:ascii="Times New Roman" w:hAnsi="Times New Roman" w:cs="Times New Roman"/>
                <w:sz w:val="20"/>
                <w:szCs w:val="20"/>
              </w:rPr>
            </w:pPr>
            <w:r w:rsidRPr="00AF0804">
              <w:rPr>
                <w:rFonts w:ascii="Times New Roman" w:hAnsi="Times New Roman" w:cs="Times New Roman"/>
                <w:sz w:val="20"/>
                <w:szCs w:val="20"/>
              </w:rPr>
              <w:t>Popup stores create unique customer experiences by converting stores into art galleries.</w:t>
            </w:r>
          </w:p>
        </w:tc>
      </w:tr>
      <w:tr w:rsidR="004A56E7" w:rsidRPr="00AF0804" w14:paraId="5C5B13FE" w14:textId="77777777" w:rsidTr="00D514C3">
        <w:trPr>
          <w:trHeight w:val="841"/>
          <w:jc w:val="center"/>
        </w:trPr>
        <w:tc>
          <w:tcPr>
            <w:tcW w:w="1231" w:type="dxa"/>
          </w:tcPr>
          <w:p w14:paraId="38FF7279" w14:textId="77777777" w:rsidR="00507E0B" w:rsidRPr="00AF0804" w:rsidRDefault="00507E0B" w:rsidP="0089365A">
            <w:pPr>
              <w:jc w:val="center"/>
              <w:rPr>
                <w:rFonts w:ascii="Times New Roman" w:hAnsi="Times New Roman" w:cs="Times New Roman"/>
                <w:sz w:val="20"/>
                <w:szCs w:val="20"/>
              </w:rPr>
            </w:pPr>
            <w:r w:rsidRPr="00AF0804">
              <w:rPr>
                <w:rFonts w:ascii="Times New Roman" w:hAnsi="Times New Roman" w:cs="Times New Roman"/>
                <w:sz w:val="20"/>
                <w:szCs w:val="20"/>
              </w:rPr>
              <w:fldChar w:fldCharType="begin" w:fldLock="1"/>
            </w:r>
            <w:r w:rsidRPr="00AF0804">
              <w:rPr>
                <w:rFonts w:ascii="Times New Roman" w:hAnsi="Times New Roman" w:cs="Times New Roman"/>
                <w:sz w:val="20"/>
                <w:szCs w:val="20"/>
              </w:rPr>
              <w:instrText>ADDIN CSL_CITATION {"citationItems":[{"id":"ITEM-1","itemData":{"DOI":"10.1108/JFMM-05-2017-0042","ISSN":"13612026","abstract":"Purpose: The purpose of this paper is to further theorize the concept of the “sustainable temporary store” and explore benefits and challenges for slow fashion retailers using temporary stores to promote a new value proposition and develop a business model. Design/methodology/approach: The theoretical part combines the findings from marketing and human geography literature to theorize pop-up retailing from the slow fashion SME perspective. The empirical part uses a critical case study and a qualitative method approach (primary sources, half standardized interviews, ethnographic observation). Findings: The study provides theoretical insights into five success criteria for the “sustainable temporary store” across geographies. Empirical findings allow for further conclusions about challenges in regards to spatial requirements and business modeling for slow fashion retail entrepreneurs in the Netherlands. Research limitations/implications: Limitations of the study are the geographical scope of exiting literature on the global north and the restricted sample size. However, by selecting a critical case, careful geographically restricted generalizations can be made. Practical implications: The study provides useful information for slow fashion entrepreneurs who want to use cheap temporary space to develop their retail business model. Social implications: The results show that there is placemaking value (social value creation) in temporary slow fashion retailing. Originality/value: The study provides a relevant contribution to the theory of pop-up retailing and more precisely to the concept of the “sustainable temporary store.” It also delivers a replicable empirical research design for other geographies.","author":[{"dropping-particle":"","family":"Overdiek","given":"Anja","non-dropping-particle":"","parse-names":false,"suffix":""}],"container-title":"Journal of Fashion Marketing and Management","id":"ITEM-1","issued":{"date-parts":[["2018"]]},"title":"Opportunities for slow fashion retail in temporary stores","type":"article-journal"},"uris":["http://www.mendeley.com/documents/?uuid=080cfdde-b679-4348-ac63-09e58c3e363a"]}],"mendeley":{"formattedCitation":"(Overdiek, 2018)","plainTextFormattedCitation":"(Overdiek, 2018)","previouslyFormattedCitation":"(Overdiek, 2018)"},"properties":{"noteIndex":0},"schema":"https://github.com/citation-style-language/schema/raw/master/csl-citation.json"}</w:instrText>
            </w:r>
            <w:r w:rsidRPr="00AF0804">
              <w:rPr>
                <w:rFonts w:ascii="Times New Roman" w:hAnsi="Times New Roman" w:cs="Times New Roman"/>
                <w:sz w:val="20"/>
                <w:szCs w:val="20"/>
              </w:rPr>
              <w:fldChar w:fldCharType="separate"/>
            </w:r>
            <w:r w:rsidRPr="00AF0804">
              <w:rPr>
                <w:rFonts w:ascii="Times New Roman" w:hAnsi="Times New Roman" w:cs="Times New Roman"/>
                <w:noProof/>
                <w:sz w:val="20"/>
                <w:szCs w:val="20"/>
              </w:rPr>
              <w:t>(Overdiek, 2018)</w:t>
            </w:r>
            <w:r w:rsidRPr="00AF0804">
              <w:rPr>
                <w:rFonts w:ascii="Times New Roman" w:hAnsi="Times New Roman" w:cs="Times New Roman"/>
                <w:sz w:val="20"/>
                <w:szCs w:val="20"/>
              </w:rPr>
              <w:fldChar w:fldCharType="end"/>
            </w:r>
          </w:p>
        </w:tc>
        <w:tc>
          <w:tcPr>
            <w:tcW w:w="1450" w:type="dxa"/>
          </w:tcPr>
          <w:p w14:paraId="3AD76828" w14:textId="77777777" w:rsidR="00507E0B" w:rsidRPr="00AF0804" w:rsidRDefault="00507E0B" w:rsidP="0089365A">
            <w:pPr>
              <w:jc w:val="center"/>
              <w:rPr>
                <w:rFonts w:ascii="Times New Roman" w:hAnsi="Times New Roman" w:cs="Times New Roman"/>
                <w:sz w:val="20"/>
                <w:szCs w:val="20"/>
              </w:rPr>
            </w:pPr>
            <w:r>
              <w:rPr>
                <w:rFonts w:ascii="Times New Roman" w:hAnsi="Times New Roman" w:cs="Times New Roman"/>
                <w:sz w:val="20"/>
                <w:szCs w:val="20"/>
              </w:rPr>
              <w:t>Temporary Slow F</w:t>
            </w:r>
            <w:r w:rsidRPr="00AF0804">
              <w:rPr>
                <w:rFonts w:ascii="Times New Roman" w:hAnsi="Times New Roman" w:cs="Times New Roman"/>
                <w:sz w:val="20"/>
                <w:szCs w:val="20"/>
              </w:rPr>
              <w:t>ashion retail stores</w:t>
            </w:r>
          </w:p>
        </w:tc>
        <w:tc>
          <w:tcPr>
            <w:tcW w:w="1147" w:type="dxa"/>
          </w:tcPr>
          <w:p w14:paraId="74C3A0BE" w14:textId="77777777" w:rsidR="00507E0B" w:rsidRPr="00AF0804" w:rsidRDefault="00507E0B" w:rsidP="0089365A">
            <w:pPr>
              <w:jc w:val="center"/>
              <w:rPr>
                <w:rFonts w:ascii="Times New Roman" w:hAnsi="Times New Roman" w:cs="Times New Roman"/>
                <w:sz w:val="20"/>
                <w:szCs w:val="20"/>
              </w:rPr>
            </w:pPr>
            <w:r w:rsidRPr="00AF0804">
              <w:rPr>
                <w:rFonts w:ascii="Times New Roman" w:hAnsi="Times New Roman" w:cs="Times New Roman"/>
                <w:sz w:val="20"/>
                <w:szCs w:val="20"/>
              </w:rPr>
              <w:t>×</w:t>
            </w:r>
          </w:p>
        </w:tc>
        <w:tc>
          <w:tcPr>
            <w:tcW w:w="1227" w:type="dxa"/>
          </w:tcPr>
          <w:p w14:paraId="0FFA8D8A" w14:textId="77777777" w:rsidR="00507E0B" w:rsidRPr="00AF0804" w:rsidRDefault="00507E0B" w:rsidP="0089365A">
            <w:pPr>
              <w:jc w:val="center"/>
              <w:rPr>
                <w:rFonts w:ascii="Times New Roman" w:hAnsi="Times New Roman" w:cs="Times New Roman"/>
                <w:sz w:val="20"/>
                <w:szCs w:val="20"/>
              </w:rPr>
            </w:pPr>
            <w:r w:rsidRPr="00AF0804">
              <w:rPr>
                <w:rFonts w:ascii="Times New Roman" w:hAnsi="Times New Roman" w:cs="Times New Roman"/>
                <w:sz w:val="20"/>
                <w:szCs w:val="20"/>
              </w:rPr>
              <w:t>×</w:t>
            </w:r>
          </w:p>
        </w:tc>
        <w:tc>
          <w:tcPr>
            <w:tcW w:w="1264" w:type="dxa"/>
          </w:tcPr>
          <w:p w14:paraId="1A14ABFF" w14:textId="77777777" w:rsidR="00507E0B" w:rsidRPr="00AF0804" w:rsidRDefault="00507E0B" w:rsidP="0089365A">
            <w:pPr>
              <w:jc w:val="center"/>
              <w:rPr>
                <w:rFonts w:ascii="Times New Roman" w:hAnsi="Times New Roman" w:cs="Times New Roman"/>
                <w:sz w:val="20"/>
                <w:szCs w:val="20"/>
              </w:rPr>
            </w:pPr>
            <w:r w:rsidRPr="00AF0804">
              <w:rPr>
                <w:rFonts w:ascii="Times New Roman" w:hAnsi="Times New Roman" w:cs="Times New Roman"/>
                <w:sz w:val="20"/>
                <w:szCs w:val="20"/>
              </w:rPr>
              <w:t>×</w:t>
            </w:r>
          </w:p>
        </w:tc>
        <w:tc>
          <w:tcPr>
            <w:tcW w:w="3041" w:type="dxa"/>
          </w:tcPr>
          <w:p w14:paraId="26170658" w14:textId="77777777" w:rsidR="00507E0B" w:rsidRPr="00AF0804" w:rsidRDefault="00507E0B" w:rsidP="004A56E7">
            <w:pPr>
              <w:rPr>
                <w:rFonts w:ascii="Times New Roman" w:hAnsi="Times New Roman" w:cs="Times New Roman"/>
                <w:sz w:val="20"/>
                <w:szCs w:val="20"/>
              </w:rPr>
            </w:pPr>
            <w:r w:rsidRPr="00AF0804">
              <w:rPr>
                <w:rFonts w:ascii="Times New Roman" w:hAnsi="Times New Roman" w:cs="Times New Roman"/>
                <w:sz w:val="20"/>
                <w:szCs w:val="20"/>
              </w:rPr>
              <w:t>Slow fashion temporary stores offering an immersive store environment which is unique, exciting and sustainable</w:t>
            </w:r>
          </w:p>
        </w:tc>
      </w:tr>
      <w:tr w:rsidR="004A56E7" w:rsidRPr="00AF0804" w14:paraId="6FBECB70" w14:textId="77777777" w:rsidTr="00D514C3">
        <w:trPr>
          <w:trHeight w:val="1061"/>
          <w:jc w:val="center"/>
        </w:trPr>
        <w:tc>
          <w:tcPr>
            <w:tcW w:w="1231" w:type="dxa"/>
          </w:tcPr>
          <w:p w14:paraId="2D1ACFB1" w14:textId="77777777" w:rsidR="00507E0B" w:rsidRPr="00AF0804" w:rsidRDefault="00507E0B" w:rsidP="0089365A">
            <w:pPr>
              <w:jc w:val="center"/>
              <w:rPr>
                <w:rFonts w:ascii="Times New Roman" w:hAnsi="Times New Roman" w:cs="Times New Roman"/>
                <w:sz w:val="20"/>
                <w:szCs w:val="20"/>
              </w:rPr>
            </w:pPr>
            <w:r>
              <w:rPr>
                <w:rFonts w:ascii="Times New Roman" w:hAnsi="Times New Roman" w:cs="Times New Roman"/>
                <w:sz w:val="20"/>
                <w:szCs w:val="20"/>
              </w:rPr>
              <w:fldChar w:fldCharType="begin" w:fldLock="1"/>
            </w:r>
            <w:r>
              <w:rPr>
                <w:rFonts w:ascii="Times New Roman" w:hAnsi="Times New Roman" w:cs="Times New Roman"/>
                <w:sz w:val="20"/>
                <w:szCs w:val="20"/>
              </w:rPr>
              <w:instrText>ADDIN CSL_CITATION {"citationItems":[{"id":"ITEM-1","itemData":{"author":[{"dropping-particle":"","family":"Yu","given":"Hong","non-dropping-particle":"","parse-names":false,"suffix":""},{"dropping-particle":"","family":"Sedlezky","given":"Sean","non-dropping-particle":"","parse-names":false,"suffix":""},{"dropping-particle":"","family":"Wong","given":"Ken","non-dropping-particle":"","parse-names":false,"suffix":""},{"dropping-particle":"","family":"Hernandez","given":"Tony","non-dropping-particle":"","parse-names":false,"suffix":""},{"dropping-particle":"","family":"Larsen","given":"Pauline","non-dropping-particle":"","parse-names":false,"suffix":""},{"dropping-particle":"","family":"Stephenson","given":"Gay","non-dropping-particle":"","parse-names":false,"suffix":""}],"edition":"1","id":"ITEM-1","issued":{"date-parts":[["2018"]]},"number-of-pages":"246","publisher":"Ryerson University","publisher-place":"Toronto","title":"Pop-up Retail Strategies in an Omnichannel Context","type":"book"},"uris":["http://www.mendeley.com/documents/?uuid=816d06da-53aa-3739-8946-673030311422"]}],"mendeley":{"formattedCitation":"(Yu et al., 2018)","plainTextFormattedCitation":"(Yu et al., 2018)","previouslyFormattedCitation":"(Yu et al., 2018)"},"properties":{"noteIndex":0},"schema":"https://github.com/citation-style-language/schema/raw/master/csl-citation.json"}</w:instrText>
            </w:r>
            <w:r>
              <w:rPr>
                <w:rFonts w:ascii="Times New Roman" w:hAnsi="Times New Roman" w:cs="Times New Roman"/>
                <w:sz w:val="20"/>
                <w:szCs w:val="20"/>
              </w:rPr>
              <w:fldChar w:fldCharType="separate"/>
            </w:r>
            <w:r w:rsidRPr="00092CF9">
              <w:rPr>
                <w:rFonts w:ascii="Times New Roman" w:hAnsi="Times New Roman" w:cs="Times New Roman"/>
                <w:noProof/>
                <w:sz w:val="20"/>
                <w:szCs w:val="20"/>
              </w:rPr>
              <w:t>(Yu et al., 2018)</w:t>
            </w:r>
            <w:r>
              <w:rPr>
                <w:rFonts w:ascii="Times New Roman" w:hAnsi="Times New Roman" w:cs="Times New Roman"/>
                <w:sz w:val="20"/>
                <w:szCs w:val="20"/>
              </w:rPr>
              <w:fldChar w:fldCharType="end"/>
            </w:r>
          </w:p>
        </w:tc>
        <w:tc>
          <w:tcPr>
            <w:tcW w:w="1450" w:type="dxa"/>
          </w:tcPr>
          <w:p w14:paraId="789E79A9" w14:textId="77777777" w:rsidR="00507E0B" w:rsidRDefault="00507E0B" w:rsidP="0089365A">
            <w:pPr>
              <w:jc w:val="center"/>
              <w:rPr>
                <w:rFonts w:ascii="Times New Roman" w:hAnsi="Times New Roman" w:cs="Times New Roman"/>
                <w:sz w:val="20"/>
                <w:szCs w:val="20"/>
              </w:rPr>
            </w:pPr>
            <w:r>
              <w:rPr>
                <w:rFonts w:ascii="Times New Roman" w:hAnsi="Times New Roman" w:cs="Times New Roman"/>
                <w:sz w:val="20"/>
                <w:szCs w:val="20"/>
              </w:rPr>
              <w:t>Popups in Omni Chanel Retail</w:t>
            </w:r>
          </w:p>
        </w:tc>
        <w:tc>
          <w:tcPr>
            <w:tcW w:w="1147" w:type="dxa"/>
          </w:tcPr>
          <w:p w14:paraId="72AE49B8" w14:textId="77777777" w:rsidR="00507E0B" w:rsidRPr="00AF0804" w:rsidRDefault="00507E0B" w:rsidP="0089365A">
            <w:pPr>
              <w:jc w:val="center"/>
              <w:rPr>
                <w:rFonts w:ascii="Times New Roman" w:hAnsi="Times New Roman" w:cs="Times New Roman"/>
                <w:sz w:val="20"/>
                <w:szCs w:val="20"/>
              </w:rPr>
            </w:pPr>
            <w:r w:rsidRPr="00AF0804">
              <w:rPr>
                <w:rFonts w:ascii="Times New Roman" w:hAnsi="Times New Roman" w:cs="Times New Roman"/>
                <w:sz w:val="20"/>
                <w:szCs w:val="20"/>
              </w:rPr>
              <w:t>×</w:t>
            </w:r>
          </w:p>
        </w:tc>
        <w:tc>
          <w:tcPr>
            <w:tcW w:w="1227" w:type="dxa"/>
          </w:tcPr>
          <w:p w14:paraId="234F0577" w14:textId="77777777" w:rsidR="00507E0B" w:rsidRPr="00AF0804" w:rsidRDefault="00507E0B" w:rsidP="0089365A">
            <w:pPr>
              <w:jc w:val="center"/>
              <w:rPr>
                <w:rFonts w:ascii="Times New Roman" w:hAnsi="Times New Roman" w:cs="Times New Roman"/>
                <w:sz w:val="20"/>
                <w:szCs w:val="20"/>
              </w:rPr>
            </w:pPr>
            <w:r w:rsidRPr="00AF0804">
              <w:rPr>
                <w:rFonts w:ascii="Times New Roman" w:hAnsi="Times New Roman" w:cs="Times New Roman"/>
                <w:sz w:val="20"/>
                <w:szCs w:val="20"/>
              </w:rPr>
              <w:t>×</w:t>
            </w:r>
          </w:p>
        </w:tc>
        <w:tc>
          <w:tcPr>
            <w:tcW w:w="1264" w:type="dxa"/>
          </w:tcPr>
          <w:p w14:paraId="2991762E" w14:textId="77777777" w:rsidR="00507E0B" w:rsidRPr="00AF0804" w:rsidRDefault="00507E0B" w:rsidP="0089365A">
            <w:pPr>
              <w:jc w:val="center"/>
              <w:rPr>
                <w:rFonts w:ascii="Times New Roman" w:hAnsi="Times New Roman" w:cs="Times New Roman"/>
                <w:sz w:val="20"/>
                <w:szCs w:val="20"/>
              </w:rPr>
            </w:pPr>
            <w:r w:rsidRPr="00AF0804">
              <w:rPr>
                <w:rFonts w:ascii="Times New Roman" w:hAnsi="Times New Roman" w:cs="Times New Roman"/>
                <w:sz w:val="20"/>
                <w:szCs w:val="20"/>
              </w:rPr>
              <w:t>×</w:t>
            </w:r>
          </w:p>
        </w:tc>
        <w:tc>
          <w:tcPr>
            <w:tcW w:w="3041" w:type="dxa"/>
          </w:tcPr>
          <w:p w14:paraId="4C6F9548" w14:textId="77777777" w:rsidR="00507E0B" w:rsidRPr="00AF0804" w:rsidRDefault="00507E0B" w:rsidP="004A56E7">
            <w:pPr>
              <w:rPr>
                <w:rFonts w:ascii="Times New Roman" w:hAnsi="Times New Roman" w:cs="Times New Roman"/>
                <w:sz w:val="20"/>
                <w:szCs w:val="20"/>
              </w:rPr>
            </w:pPr>
            <w:r>
              <w:rPr>
                <w:rFonts w:ascii="Times New Roman" w:hAnsi="Times New Roman" w:cs="Times New Roman"/>
                <w:sz w:val="20"/>
                <w:szCs w:val="20"/>
              </w:rPr>
              <w:t>Consumers psychographic characteristics such as innovativeness, market mavenism and shopping enjoyment create the ultimate popup experience.</w:t>
            </w:r>
          </w:p>
        </w:tc>
      </w:tr>
      <w:tr w:rsidR="004A56E7" w:rsidRPr="00AF0804" w14:paraId="66042901" w14:textId="77777777" w:rsidTr="00D514C3">
        <w:trPr>
          <w:trHeight w:val="80"/>
          <w:jc w:val="center"/>
        </w:trPr>
        <w:tc>
          <w:tcPr>
            <w:tcW w:w="1231" w:type="dxa"/>
            <w:tcBorders>
              <w:bottom w:val="single" w:sz="4" w:space="0" w:color="auto"/>
            </w:tcBorders>
          </w:tcPr>
          <w:p w14:paraId="058F7131" w14:textId="77777777" w:rsidR="00507E0B" w:rsidRPr="00AF0804" w:rsidRDefault="00507E0B" w:rsidP="0089365A">
            <w:pPr>
              <w:rPr>
                <w:rFonts w:ascii="Times New Roman" w:hAnsi="Times New Roman" w:cs="Times New Roman"/>
                <w:sz w:val="20"/>
                <w:szCs w:val="20"/>
              </w:rPr>
            </w:pPr>
          </w:p>
        </w:tc>
        <w:tc>
          <w:tcPr>
            <w:tcW w:w="1450" w:type="dxa"/>
            <w:tcBorders>
              <w:bottom w:val="single" w:sz="4" w:space="0" w:color="auto"/>
            </w:tcBorders>
          </w:tcPr>
          <w:p w14:paraId="6AF60EAF" w14:textId="77777777" w:rsidR="00507E0B" w:rsidRPr="00AF0804" w:rsidRDefault="00507E0B" w:rsidP="0089365A">
            <w:pPr>
              <w:rPr>
                <w:rFonts w:ascii="Times New Roman" w:hAnsi="Times New Roman" w:cs="Times New Roman"/>
                <w:sz w:val="20"/>
                <w:szCs w:val="20"/>
              </w:rPr>
            </w:pPr>
          </w:p>
        </w:tc>
        <w:tc>
          <w:tcPr>
            <w:tcW w:w="1147" w:type="dxa"/>
            <w:tcBorders>
              <w:bottom w:val="single" w:sz="4" w:space="0" w:color="auto"/>
            </w:tcBorders>
          </w:tcPr>
          <w:p w14:paraId="7C9E3E04" w14:textId="77777777" w:rsidR="00507E0B" w:rsidRPr="00AF0804" w:rsidRDefault="00507E0B" w:rsidP="0089365A">
            <w:pPr>
              <w:rPr>
                <w:rFonts w:ascii="Times New Roman" w:hAnsi="Times New Roman" w:cs="Times New Roman"/>
                <w:sz w:val="20"/>
                <w:szCs w:val="20"/>
              </w:rPr>
            </w:pPr>
          </w:p>
        </w:tc>
        <w:tc>
          <w:tcPr>
            <w:tcW w:w="1227" w:type="dxa"/>
            <w:tcBorders>
              <w:bottom w:val="single" w:sz="4" w:space="0" w:color="auto"/>
            </w:tcBorders>
          </w:tcPr>
          <w:p w14:paraId="5DBE15C3" w14:textId="77777777" w:rsidR="00507E0B" w:rsidRPr="00AF0804" w:rsidRDefault="00507E0B" w:rsidP="0089365A">
            <w:pPr>
              <w:rPr>
                <w:rFonts w:ascii="Times New Roman" w:hAnsi="Times New Roman" w:cs="Times New Roman"/>
                <w:sz w:val="20"/>
                <w:szCs w:val="20"/>
              </w:rPr>
            </w:pPr>
          </w:p>
        </w:tc>
        <w:tc>
          <w:tcPr>
            <w:tcW w:w="1264" w:type="dxa"/>
            <w:tcBorders>
              <w:bottom w:val="single" w:sz="4" w:space="0" w:color="auto"/>
            </w:tcBorders>
          </w:tcPr>
          <w:p w14:paraId="6055D2D9" w14:textId="77777777" w:rsidR="00507E0B" w:rsidRPr="00AF0804" w:rsidRDefault="00507E0B" w:rsidP="0089365A">
            <w:pPr>
              <w:rPr>
                <w:rFonts w:ascii="Times New Roman" w:hAnsi="Times New Roman" w:cs="Times New Roman"/>
                <w:sz w:val="20"/>
                <w:szCs w:val="20"/>
              </w:rPr>
            </w:pPr>
          </w:p>
        </w:tc>
        <w:tc>
          <w:tcPr>
            <w:tcW w:w="3041" w:type="dxa"/>
            <w:tcBorders>
              <w:bottom w:val="single" w:sz="4" w:space="0" w:color="auto"/>
            </w:tcBorders>
          </w:tcPr>
          <w:p w14:paraId="5786B615" w14:textId="77777777" w:rsidR="00507E0B" w:rsidRPr="00AF0804" w:rsidRDefault="00507E0B" w:rsidP="004A56E7">
            <w:pPr>
              <w:rPr>
                <w:rFonts w:ascii="Times New Roman" w:hAnsi="Times New Roman" w:cs="Times New Roman"/>
                <w:sz w:val="20"/>
                <w:szCs w:val="20"/>
              </w:rPr>
            </w:pPr>
          </w:p>
        </w:tc>
      </w:tr>
    </w:tbl>
    <w:p w14:paraId="48A60259" w14:textId="77777777" w:rsidR="00507E0B" w:rsidRDefault="00507E0B" w:rsidP="00507E0B">
      <w:pPr>
        <w:spacing w:line="240" w:lineRule="auto"/>
        <w:rPr>
          <w:rFonts w:ascii="Times New Roman" w:eastAsia="Times New Roman" w:hAnsi="Times New Roman" w:cs="Times New Roman"/>
          <w:sz w:val="24"/>
          <w:szCs w:val="24"/>
        </w:rPr>
      </w:pPr>
    </w:p>
    <w:p w14:paraId="3CBD569E" w14:textId="77777777" w:rsidR="005669A6" w:rsidRDefault="005669A6" w:rsidP="00290A4D">
      <w:pPr>
        <w:spacing w:line="240" w:lineRule="auto"/>
        <w:rPr>
          <w:rFonts w:ascii="Times New Roman" w:eastAsia="Times New Roman" w:hAnsi="Times New Roman" w:cs="Times New Roman"/>
          <w:sz w:val="24"/>
          <w:szCs w:val="24"/>
        </w:rPr>
      </w:pPr>
    </w:p>
    <w:p w14:paraId="31711D01" w14:textId="442CD4C2" w:rsidR="00C2705E" w:rsidRDefault="003243C8" w:rsidP="00EB7F28">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Table 2</w:t>
      </w:r>
      <w:r w:rsidR="00C2705E">
        <w:rPr>
          <w:rFonts w:ascii="Times New Roman" w:eastAsia="Times New Roman" w:hAnsi="Times New Roman" w:cs="Times New Roman"/>
          <w:sz w:val="24"/>
          <w:szCs w:val="24"/>
        </w:rPr>
        <w:t xml:space="preserve"> Confirmatory Factor Analysis for</w:t>
      </w:r>
      <w:r w:rsidR="00040A63" w:rsidRPr="00040A63">
        <w:t xml:space="preserve"> </w:t>
      </w:r>
      <w:r w:rsidR="00040A63" w:rsidRPr="00040A63">
        <w:rPr>
          <w:rFonts w:ascii="Times New Roman" w:eastAsia="Times New Roman" w:hAnsi="Times New Roman" w:cs="Times New Roman"/>
          <w:sz w:val="24"/>
          <w:szCs w:val="24"/>
        </w:rPr>
        <w:t xml:space="preserve">Fashion and Lifestyle </w:t>
      </w:r>
      <w:r w:rsidR="00040A63">
        <w:rPr>
          <w:rFonts w:ascii="Times New Roman" w:eastAsia="Times New Roman" w:hAnsi="Times New Roman" w:cs="Times New Roman"/>
          <w:sz w:val="24"/>
          <w:szCs w:val="24"/>
        </w:rPr>
        <w:t>Popup</w:t>
      </w:r>
      <w:r w:rsidR="00C2705E">
        <w:rPr>
          <w:rFonts w:ascii="Times New Roman" w:eastAsia="Times New Roman" w:hAnsi="Times New Roman" w:cs="Times New Roman"/>
          <w:sz w:val="24"/>
          <w:szCs w:val="24"/>
        </w:rPr>
        <w:t xml:space="preserve"> Store Values</w:t>
      </w:r>
    </w:p>
    <w:tbl>
      <w:tblPr>
        <w:tblStyle w:val="TableGrid"/>
        <w:tblW w:w="98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09"/>
        <w:gridCol w:w="4411"/>
        <w:gridCol w:w="1512"/>
        <w:gridCol w:w="1328"/>
      </w:tblGrid>
      <w:tr w:rsidR="0066592C" w:rsidRPr="00626BCA" w14:paraId="3F80C773" w14:textId="77777777" w:rsidTr="005562F0">
        <w:trPr>
          <w:trHeight w:val="307"/>
          <w:jc w:val="center"/>
        </w:trPr>
        <w:tc>
          <w:tcPr>
            <w:tcW w:w="2609" w:type="dxa"/>
            <w:tcBorders>
              <w:top w:val="single" w:sz="4" w:space="0" w:color="auto"/>
              <w:bottom w:val="single" w:sz="4" w:space="0" w:color="auto"/>
            </w:tcBorders>
            <w:vAlign w:val="center"/>
          </w:tcPr>
          <w:p w14:paraId="75043602" w14:textId="77777777" w:rsidR="0066592C" w:rsidRPr="00626BCA" w:rsidRDefault="0066592C" w:rsidP="005562F0">
            <w:pPr>
              <w:jc w:val="center"/>
              <w:rPr>
                <w:rFonts w:ascii="Times New Roman" w:eastAsia="Times New Roman" w:hAnsi="Times New Roman" w:cs="Times New Roman"/>
                <w:sz w:val="24"/>
                <w:szCs w:val="24"/>
              </w:rPr>
            </w:pPr>
            <w:r w:rsidRPr="00626BCA">
              <w:rPr>
                <w:rFonts w:ascii="Times New Roman" w:eastAsia="Times New Roman" w:hAnsi="Times New Roman" w:cs="Times New Roman"/>
                <w:sz w:val="24"/>
                <w:szCs w:val="24"/>
              </w:rPr>
              <w:t>Construct</w:t>
            </w:r>
          </w:p>
        </w:tc>
        <w:tc>
          <w:tcPr>
            <w:tcW w:w="4411" w:type="dxa"/>
            <w:tcBorders>
              <w:top w:val="single" w:sz="4" w:space="0" w:color="auto"/>
              <w:bottom w:val="single" w:sz="4" w:space="0" w:color="auto"/>
            </w:tcBorders>
            <w:vAlign w:val="center"/>
          </w:tcPr>
          <w:p w14:paraId="3D98EB74" w14:textId="77777777" w:rsidR="0066592C" w:rsidRPr="00626BCA" w:rsidRDefault="0066592C" w:rsidP="005562F0">
            <w:pPr>
              <w:rPr>
                <w:rFonts w:ascii="Times New Roman" w:eastAsia="Times New Roman" w:hAnsi="Times New Roman" w:cs="Times New Roman"/>
                <w:sz w:val="24"/>
                <w:szCs w:val="24"/>
              </w:rPr>
            </w:pPr>
            <w:r w:rsidRPr="00626BCA">
              <w:rPr>
                <w:rFonts w:ascii="Times New Roman" w:eastAsia="Times New Roman" w:hAnsi="Times New Roman" w:cs="Times New Roman"/>
                <w:sz w:val="24"/>
                <w:szCs w:val="24"/>
              </w:rPr>
              <w:t>Items</w:t>
            </w:r>
          </w:p>
        </w:tc>
        <w:tc>
          <w:tcPr>
            <w:tcW w:w="1512" w:type="dxa"/>
            <w:tcBorders>
              <w:top w:val="single" w:sz="4" w:space="0" w:color="auto"/>
              <w:bottom w:val="single" w:sz="4" w:space="0" w:color="auto"/>
            </w:tcBorders>
            <w:vAlign w:val="center"/>
          </w:tcPr>
          <w:p w14:paraId="2E8D9D61" w14:textId="77777777" w:rsidR="0066592C" w:rsidRPr="00626BCA" w:rsidRDefault="0066592C" w:rsidP="005562F0">
            <w:pPr>
              <w:jc w:val="center"/>
              <w:rPr>
                <w:rFonts w:ascii="Times New Roman" w:eastAsia="Times New Roman" w:hAnsi="Times New Roman" w:cs="Times New Roman"/>
                <w:sz w:val="24"/>
                <w:szCs w:val="24"/>
              </w:rPr>
            </w:pPr>
            <w:r w:rsidRPr="00626BCA">
              <w:rPr>
                <w:rFonts w:ascii="Times New Roman" w:eastAsia="Times New Roman" w:hAnsi="Times New Roman" w:cs="Times New Roman"/>
                <w:sz w:val="24"/>
                <w:szCs w:val="24"/>
              </w:rPr>
              <w:t>Factor Loadings</w:t>
            </w:r>
          </w:p>
        </w:tc>
        <w:tc>
          <w:tcPr>
            <w:tcW w:w="1328" w:type="dxa"/>
            <w:tcBorders>
              <w:top w:val="single" w:sz="4" w:space="0" w:color="auto"/>
              <w:bottom w:val="single" w:sz="4" w:space="0" w:color="auto"/>
            </w:tcBorders>
            <w:vAlign w:val="center"/>
          </w:tcPr>
          <w:p w14:paraId="09DB5CB8" w14:textId="77777777" w:rsidR="0066592C" w:rsidRPr="00626BCA" w:rsidRDefault="0066592C" w:rsidP="005562F0">
            <w:pPr>
              <w:jc w:val="center"/>
              <w:rPr>
                <w:rFonts w:ascii="Times New Roman" w:eastAsia="Times New Roman" w:hAnsi="Times New Roman" w:cs="Times New Roman"/>
                <w:sz w:val="24"/>
                <w:szCs w:val="24"/>
              </w:rPr>
            </w:pPr>
            <w:r w:rsidRPr="00626BCA">
              <w:rPr>
                <w:rFonts w:ascii="Times New Roman" w:eastAsia="Times New Roman" w:hAnsi="Times New Roman" w:cs="Times New Roman"/>
                <w:sz w:val="24"/>
                <w:szCs w:val="24"/>
              </w:rPr>
              <w:t>Cronbach’s Alpha</w:t>
            </w:r>
          </w:p>
        </w:tc>
      </w:tr>
      <w:tr w:rsidR="0066592C" w:rsidRPr="00626BCA" w14:paraId="70D6F688" w14:textId="77777777" w:rsidTr="005562F0">
        <w:trPr>
          <w:trHeight w:hRule="exact" w:val="712"/>
          <w:jc w:val="center"/>
        </w:trPr>
        <w:tc>
          <w:tcPr>
            <w:tcW w:w="2609" w:type="dxa"/>
            <w:tcBorders>
              <w:top w:val="single" w:sz="4" w:space="0" w:color="auto"/>
            </w:tcBorders>
            <w:vAlign w:val="center"/>
          </w:tcPr>
          <w:p w14:paraId="4A7060FE" w14:textId="77777777" w:rsidR="0066592C" w:rsidRPr="00626BCA" w:rsidRDefault="0066592C" w:rsidP="005562F0">
            <w:pPr>
              <w:jc w:val="center"/>
              <w:rPr>
                <w:rFonts w:ascii="Times New Roman" w:eastAsia="Times New Roman" w:hAnsi="Times New Roman" w:cs="Times New Roman"/>
                <w:sz w:val="24"/>
                <w:szCs w:val="24"/>
              </w:rPr>
            </w:pPr>
            <w:r w:rsidRPr="00626BCA">
              <w:rPr>
                <w:rFonts w:ascii="Times New Roman" w:eastAsia="Times New Roman" w:hAnsi="Times New Roman" w:cs="Times New Roman"/>
                <w:sz w:val="24"/>
                <w:szCs w:val="24"/>
              </w:rPr>
              <w:t xml:space="preserve">Popup store Hedonic </w:t>
            </w:r>
            <w:r>
              <w:rPr>
                <w:rFonts w:ascii="Times New Roman" w:eastAsia="Times New Roman" w:hAnsi="Times New Roman" w:cs="Times New Roman"/>
                <w:sz w:val="24"/>
                <w:szCs w:val="24"/>
              </w:rPr>
              <w:t>s</w:t>
            </w:r>
            <w:r w:rsidRPr="00626BCA">
              <w:rPr>
                <w:rFonts w:ascii="Times New Roman" w:eastAsia="Times New Roman" w:hAnsi="Times New Roman" w:cs="Times New Roman"/>
                <w:sz w:val="24"/>
                <w:szCs w:val="24"/>
              </w:rPr>
              <w:t>hopping Value</w:t>
            </w:r>
          </w:p>
        </w:tc>
        <w:tc>
          <w:tcPr>
            <w:tcW w:w="4411" w:type="dxa"/>
            <w:tcBorders>
              <w:top w:val="single" w:sz="4" w:space="0" w:color="auto"/>
            </w:tcBorders>
            <w:vAlign w:val="center"/>
          </w:tcPr>
          <w:p w14:paraId="5445BE6C" w14:textId="77777777" w:rsidR="0066592C" w:rsidRPr="00626BCA" w:rsidRDefault="0066592C" w:rsidP="005562F0">
            <w:pPr>
              <w:rPr>
                <w:rFonts w:ascii="Times New Roman" w:eastAsia="Times New Roman" w:hAnsi="Times New Roman" w:cs="Times New Roman"/>
                <w:sz w:val="24"/>
                <w:szCs w:val="24"/>
              </w:rPr>
            </w:pPr>
            <w:r w:rsidRPr="00626BCA">
              <w:rPr>
                <w:rFonts w:ascii="Times New Roman" w:eastAsia="Times New Roman" w:hAnsi="Times New Roman" w:cs="Times New Roman"/>
                <w:sz w:val="24"/>
                <w:szCs w:val="24"/>
              </w:rPr>
              <w:t>Popup store shopping is Fun</w:t>
            </w:r>
          </w:p>
        </w:tc>
        <w:tc>
          <w:tcPr>
            <w:tcW w:w="1512" w:type="dxa"/>
            <w:tcBorders>
              <w:top w:val="single" w:sz="4" w:space="0" w:color="auto"/>
            </w:tcBorders>
            <w:vAlign w:val="center"/>
          </w:tcPr>
          <w:p w14:paraId="12A72063" w14:textId="77777777" w:rsidR="0066592C" w:rsidRPr="00626BCA" w:rsidRDefault="0066592C" w:rsidP="005562F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0.78</w:t>
            </w:r>
          </w:p>
        </w:tc>
        <w:tc>
          <w:tcPr>
            <w:tcW w:w="1328" w:type="dxa"/>
            <w:tcBorders>
              <w:top w:val="single" w:sz="4" w:space="0" w:color="auto"/>
            </w:tcBorders>
            <w:vAlign w:val="center"/>
          </w:tcPr>
          <w:p w14:paraId="30921FB4" w14:textId="77777777" w:rsidR="0066592C" w:rsidRPr="00626BCA" w:rsidRDefault="0066592C" w:rsidP="005562F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0.83</w:t>
            </w:r>
          </w:p>
        </w:tc>
      </w:tr>
      <w:tr w:rsidR="0066592C" w:rsidRPr="00626BCA" w14:paraId="45AF18B3" w14:textId="77777777" w:rsidTr="005562F0">
        <w:trPr>
          <w:trHeight w:hRule="exact" w:val="513"/>
          <w:jc w:val="center"/>
        </w:trPr>
        <w:tc>
          <w:tcPr>
            <w:tcW w:w="2609" w:type="dxa"/>
            <w:vAlign w:val="center"/>
          </w:tcPr>
          <w:p w14:paraId="01BCBDD0" w14:textId="77777777" w:rsidR="0066592C" w:rsidRPr="00626BCA" w:rsidRDefault="0066592C" w:rsidP="005562F0">
            <w:pPr>
              <w:jc w:val="center"/>
              <w:rPr>
                <w:rFonts w:ascii="Times New Roman" w:eastAsia="Times New Roman" w:hAnsi="Times New Roman" w:cs="Times New Roman"/>
                <w:sz w:val="24"/>
                <w:szCs w:val="24"/>
              </w:rPr>
            </w:pPr>
          </w:p>
        </w:tc>
        <w:tc>
          <w:tcPr>
            <w:tcW w:w="4411" w:type="dxa"/>
            <w:vAlign w:val="center"/>
          </w:tcPr>
          <w:p w14:paraId="40CA9886" w14:textId="77777777" w:rsidR="0066592C" w:rsidRPr="00626BCA" w:rsidRDefault="0066592C" w:rsidP="005562F0">
            <w:pPr>
              <w:rPr>
                <w:rFonts w:ascii="Times New Roman" w:eastAsia="Times New Roman" w:hAnsi="Times New Roman" w:cs="Times New Roman"/>
                <w:sz w:val="24"/>
                <w:szCs w:val="24"/>
              </w:rPr>
            </w:pPr>
            <w:r w:rsidRPr="00626BCA">
              <w:rPr>
                <w:rFonts w:ascii="Times New Roman" w:eastAsia="Times New Roman" w:hAnsi="Times New Roman" w:cs="Times New Roman"/>
                <w:sz w:val="24"/>
                <w:szCs w:val="24"/>
              </w:rPr>
              <w:t>Popup store shopping is Exciting</w:t>
            </w:r>
          </w:p>
        </w:tc>
        <w:tc>
          <w:tcPr>
            <w:tcW w:w="1512" w:type="dxa"/>
            <w:vAlign w:val="center"/>
          </w:tcPr>
          <w:p w14:paraId="374A1CDB" w14:textId="77777777" w:rsidR="0066592C" w:rsidRPr="00626BCA" w:rsidRDefault="0066592C" w:rsidP="005562F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0.88</w:t>
            </w:r>
          </w:p>
        </w:tc>
        <w:tc>
          <w:tcPr>
            <w:tcW w:w="1328" w:type="dxa"/>
            <w:vAlign w:val="center"/>
          </w:tcPr>
          <w:p w14:paraId="3141D5AD" w14:textId="77777777" w:rsidR="0066592C" w:rsidRPr="00626BCA" w:rsidRDefault="0066592C" w:rsidP="005562F0">
            <w:pPr>
              <w:jc w:val="center"/>
              <w:rPr>
                <w:rFonts w:ascii="Times New Roman" w:eastAsia="Times New Roman" w:hAnsi="Times New Roman" w:cs="Times New Roman"/>
                <w:sz w:val="24"/>
                <w:szCs w:val="24"/>
              </w:rPr>
            </w:pPr>
          </w:p>
        </w:tc>
      </w:tr>
      <w:tr w:rsidR="0066592C" w:rsidRPr="00626BCA" w14:paraId="1B64ADBB" w14:textId="77777777" w:rsidTr="005562F0">
        <w:trPr>
          <w:trHeight w:hRule="exact" w:val="495"/>
          <w:jc w:val="center"/>
        </w:trPr>
        <w:tc>
          <w:tcPr>
            <w:tcW w:w="2609" w:type="dxa"/>
            <w:tcBorders>
              <w:bottom w:val="single" w:sz="4" w:space="0" w:color="auto"/>
            </w:tcBorders>
            <w:vAlign w:val="center"/>
          </w:tcPr>
          <w:p w14:paraId="69537679" w14:textId="77777777" w:rsidR="0066592C" w:rsidRPr="00626BCA" w:rsidRDefault="0066592C" w:rsidP="005562F0">
            <w:pPr>
              <w:jc w:val="center"/>
              <w:rPr>
                <w:rFonts w:ascii="Times New Roman" w:eastAsia="Times New Roman" w:hAnsi="Times New Roman" w:cs="Times New Roman"/>
                <w:sz w:val="24"/>
                <w:szCs w:val="24"/>
              </w:rPr>
            </w:pPr>
          </w:p>
        </w:tc>
        <w:tc>
          <w:tcPr>
            <w:tcW w:w="4411" w:type="dxa"/>
            <w:tcBorders>
              <w:bottom w:val="single" w:sz="4" w:space="0" w:color="auto"/>
            </w:tcBorders>
            <w:vAlign w:val="center"/>
          </w:tcPr>
          <w:p w14:paraId="41F4EBEE" w14:textId="77777777" w:rsidR="0066592C" w:rsidRPr="00626BCA" w:rsidRDefault="0066592C" w:rsidP="005562F0">
            <w:pPr>
              <w:rPr>
                <w:rFonts w:ascii="Times New Roman" w:eastAsia="Times New Roman" w:hAnsi="Times New Roman" w:cs="Times New Roman"/>
                <w:sz w:val="24"/>
                <w:szCs w:val="24"/>
              </w:rPr>
            </w:pPr>
            <w:r w:rsidRPr="00626BCA">
              <w:rPr>
                <w:rFonts w:ascii="Times New Roman" w:eastAsia="Times New Roman" w:hAnsi="Times New Roman" w:cs="Times New Roman"/>
                <w:sz w:val="24"/>
                <w:szCs w:val="24"/>
              </w:rPr>
              <w:t>Popup store Shopping is Thrilling</w:t>
            </w:r>
          </w:p>
        </w:tc>
        <w:tc>
          <w:tcPr>
            <w:tcW w:w="1512" w:type="dxa"/>
            <w:tcBorders>
              <w:bottom w:val="single" w:sz="4" w:space="0" w:color="auto"/>
            </w:tcBorders>
            <w:vAlign w:val="center"/>
          </w:tcPr>
          <w:p w14:paraId="6C0BD97B" w14:textId="77777777" w:rsidR="0066592C" w:rsidRPr="00626BCA" w:rsidRDefault="0066592C" w:rsidP="005562F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0.75</w:t>
            </w:r>
          </w:p>
        </w:tc>
        <w:tc>
          <w:tcPr>
            <w:tcW w:w="1328" w:type="dxa"/>
            <w:tcBorders>
              <w:bottom w:val="single" w:sz="4" w:space="0" w:color="auto"/>
            </w:tcBorders>
            <w:vAlign w:val="center"/>
          </w:tcPr>
          <w:p w14:paraId="1DA34397" w14:textId="77777777" w:rsidR="0066592C" w:rsidRPr="00626BCA" w:rsidRDefault="0066592C" w:rsidP="005562F0">
            <w:pPr>
              <w:jc w:val="center"/>
              <w:rPr>
                <w:rFonts w:ascii="Times New Roman" w:eastAsia="Times New Roman" w:hAnsi="Times New Roman" w:cs="Times New Roman"/>
                <w:sz w:val="24"/>
                <w:szCs w:val="24"/>
              </w:rPr>
            </w:pPr>
          </w:p>
        </w:tc>
      </w:tr>
      <w:tr w:rsidR="0066592C" w:rsidRPr="00626BCA" w14:paraId="3F1742DF" w14:textId="77777777" w:rsidTr="005562F0">
        <w:trPr>
          <w:trHeight w:hRule="exact" w:val="720"/>
          <w:jc w:val="center"/>
        </w:trPr>
        <w:tc>
          <w:tcPr>
            <w:tcW w:w="2609" w:type="dxa"/>
            <w:tcBorders>
              <w:bottom w:val="single" w:sz="4" w:space="0" w:color="auto"/>
            </w:tcBorders>
            <w:vAlign w:val="center"/>
          </w:tcPr>
          <w:p w14:paraId="0069A96B" w14:textId="77777777" w:rsidR="0066592C" w:rsidRPr="00626BCA" w:rsidRDefault="0066592C" w:rsidP="005562F0">
            <w:pPr>
              <w:jc w:val="center"/>
              <w:rPr>
                <w:rFonts w:ascii="Times New Roman" w:eastAsia="Times New Roman" w:hAnsi="Times New Roman" w:cs="Times New Roman"/>
                <w:sz w:val="24"/>
                <w:szCs w:val="24"/>
              </w:rPr>
            </w:pPr>
            <w:r w:rsidRPr="00626BCA">
              <w:rPr>
                <w:rFonts w:ascii="Times New Roman" w:eastAsia="Times New Roman" w:hAnsi="Times New Roman" w:cs="Times New Roman"/>
                <w:sz w:val="24"/>
                <w:szCs w:val="24"/>
              </w:rPr>
              <w:t>Popup store Uniqueness Value</w:t>
            </w:r>
          </w:p>
        </w:tc>
        <w:tc>
          <w:tcPr>
            <w:tcW w:w="4411" w:type="dxa"/>
            <w:tcBorders>
              <w:bottom w:val="single" w:sz="4" w:space="0" w:color="auto"/>
            </w:tcBorders>
            <w:vAlign w:val="center"/>
          </w:tcPr>
          <w:p w14:paraId="7095101C" w14:textId="77777777" w:rsidR="0066592C" w:rsidRPr="00626BCA" w:rsidRDefault="0066592C" w:rsidP="005562F0">
            <w:pPr>
              <w:rPr>
                <w:rFonts w:ascii="Times New Roman" w:eastAsia="Times New Roman" w:hAnsi="Times New Roman" w:cs="Times New Roman"/>
                <w:sz w:val="24"/>
                <w:szCs w:val="24"/>
              </w:rPr>
            </w:pPr>
            <w:r w:rsidRPr="00626BCA">
              <w:rPr>
                <w:rFonts w:ascii="Times New Roman" w:eastAsia="Times New Roman" w:hAnsi="Times New Roman" w:cs="Times New Roman"/>
                <w:sz w:val="24"/>
                <w:szCs w:val="24"/>
              </w:rPr>
              <w:t>Popup stores are Unique</w:t>
            </w:r>
          </w:p>
        </w:tc>
        <w:tc>
          <w:tcPr>
            <w:tcW w:w="1512" w:type="dxa"/>
            <w:tcBorders>
              <w:bottom w:val="single" w:sz="4" w:space="0" w:color="auto"/>
            </w:tcBorders>
            <w:vAlign w:val="center"/>
          </w:tcPr>
          <w:p w14:paraId="219802C1" w14:textId="77777777" w:rsidR="0066592C" w:rsidRPr="00626BCA" w:rsidRDefault="0066592C" w:rsidP="005562F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328" w:type="dxa"/>
            <w:tcBorders>
              <w:bottom w:val="single" w:sz="4" w:space="0" w:color="auto"/>
            </w:tcBorders>
            <w:vAlign w:val="center"/>
          </w:tcPr>
          <w:p w14:paraId="5FAE5C49" w14:textId="77777777" w:rsidR="0066592C" w:rsidRPr="00626BCA" w:rsidRDefault="0066592C" w:rsidP="005562F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66592C" w:rsidRPr="00626BCA" w14:paraId="5B027DB3" w14:textId="77777777" w:rsidTr="005562F0">
        <w:trPr>
          <w:trHeight w:hRule="exact" w:val="288"/>
          <w:jc w:val="center"/>
        </w:trPr>
        <w:tc>
          <w:tcPr>
            <w:tcW w:w="2609" w:type="dxa"/>
            <w:tcBorders>
              <w:top w:val="single" w:sz="4" w:space="0" w:color="auto"/>
            </w:tcBorders>
            <w:vAlign w:val="center"/>
          </w:tcPr>
          <w:p w14:paraId="7A6D437E" w14:textId="77777777" w:rsidR="0066592C" w:rsidRPr="00626BCA" w:rsidRDefault="0066592C" w:rsidP="005562F0">
            <w:pPr>
              <w:jc w:val="center"/>
              <w:rPr>
                <w:rFonts w:ascii="Times New Roman" w:eastAsia="Times New Roman" w:hAnsi="Times New Roman" w:cs="Times New Roman"/>
                <w:sz w:val="24"/>
                <w:szCs w:val="24"/>
              </w:rPr>
            </w:pPr>
          </w:p>
        </w:tc>
        <w:tc>
          <w:tcPr>
            <w:tcW w:w="4411" w:type="dxa"/>
            <w:tcBorders>
              <w:top w:val="single" w:sz="4" w:space="0" w:color="auto"/>
            </w:tcBorders>
            <w:vAlign w:val="center"/>
          </w:tcPr>
          <w:p w14:paraId="4CC33AD9" w14:textId="77777777" w:rsidR="0066592C" w:rsidRPr="00626BCA" w:rsidRDefault="0066592C" w:rsidP="005562F0">
            <w:pPr>
              <w:rPr>
                <w:rFonts w:ascii="Times New Roman" w:eastAsia="Times New Roman" w:hAnsi="Times New Roman" w:cs="Times New Roman"/>
                <w:sz w:val="24"/>
                <w:szCs w:val="24"/>
              </w:rPr>
            </w:pPr>
          </w:p>
        </w:tc>
        <w:tc>
          <w:tcPr>
            <w:tcW w:w="1512" w:type="dxa"/>
            <w:tcBorders>
              <w:top w:val="single" w:sz="4" w:space="0" w:color="auto"/>
            </w:tcBorders>
            <w:vAlign w:val="center"/>
          </w:tcPr>
          <w:p w14:paraId="78B57D42" w14:textId="77777777" w:rsidR="0066592C" w:rsidRPr="00626BCA" w:rsidRDefault="0066592C" w:rsidP="005562F0">
            <w:pPr>
              <w:jc w:val="center"/>
              <w:rPr>
                <w:rFonts w:ascii="Times New Roman" w:eastAsia="Times New Roman" w:hAnsi="Times New Roman" w:cs="Times New Roman"/>
                <w:sz w:val="24"/>
                <w:szCs w:val="24"/>
              </w:rPr>
            </w:pPr>
          </w:p>
        </w:tc>
        <w:tc>
          <w:tcPr>
            <w:tcW w:w="1328" w:type="dxa"/>
            <w:tcBorders>
              <w:top w:val="single" w:sz="4" w:space="0" w:color="auto"/>
            </w:tcBorders>
            <w:vAlign w:val="center"/>
          </w:tcPr>
          <w:p w14:paraId="6593326D" w14:textId="77777777" w:rsidR="0066592C" w:rsidRPr="00626BCA" w:rsidRDefault="0066592C" w:rsidP="005562F0">
            <w:pPr>
              <w:jc w:val="center"/>
              <w:rPr>
                <w:rFonts w:ascii="Times New Roman" w:eastAsia="Times New Roman" w:hAnsi="Times New Roman" w:cs="Times New Roman"/>
                <w:sz w:val="24"/>
                <w:szCs w:val="24"/>
              </w:rPr>
            </w:pPr>
          </w:p>
        </w:tc>
      </w:tr>
      <w:tr w:rsidR="0066592C" w:rsidRPr="00626BCA" w14:paraId="62240EF0" w14:textId="77777777" w:rsidTr="005562F0">
        <w:trPr>
          <w:trHeight w:hRule="exact" w:val="288"/>
          <w:jc w:val="center"/>
        </w:trPr>
        <w:tc>
          <w:tcPr>
            <w:tcW w:w="2609" w:type="dxa"/>
            <w:vAlign w:val="center"/>
          </w:tcPr>
          <w:p w14:paraId="099D30C5" w14:textId="77777777" w:rsidR="0066592C" w:rsidRPr="00626BCA" w:rsidRDefault="0066592C" w:rsidP="005562F0">
            <w:pPr>
              <w:jc w:val="center"/>
              <w:rPr>
                <w:rFonts w:ascii="Times New Roman" w:eastAsia="Times New Roman" w:hAnsi="Times New Roman" w:cs="Times New Roman"/>
                <w:sz w:val="24"/>
                <w:szCs w:val="24"/>
              </w:rPr>
            </w:pPr>
            <w:r w:rsidRPr="00626BCA">
              <w:rPr>
                <w:rFonts w:ascii="Times New Roman" w:eastAsia="Times New Roman" w:hAnsi="Times New Roman" w:cs="Times New Roman"/>
                <w:sz w:val="24"/>
                <w:szCs w:val="24"/>
              </w:rPr>
              <w:t>Popup store Atmosphere</w:t>
            </w:r>
          </w:p>
        </w:tc>
        <w:tc>
          <w:tcPr>
            <w:tcW w:w="4411" w:type="dxa"/>
            <w:vAlign w:val="center"/>
          </w:tcPr>
          <w:p w14:paraId="6E64A8E4" w14:textId="77777777" w:rsidR="0066592C" w:rsidRPr="00626BCA" w:rsidRDefault="0066592C" w:rsidP="005562F0">
            <w:pPr>
              <w:rPr>
                <w:rFonts w:ascii="Times New Roman" w:eastAsia="Times New Roman" w:hAnsi="Times New Roman" w:cs="Times New Roman"/>
                <w:sz w:val="24"/>
                <w:szCs w:val="24"/>
              </w:rPr>
            </w:pPr>
            <w:r w:rsidRPr="00626BCA">
              <w:rPr>
                <w:rFonts w:ascii="Times New Roman" w:eastAsia="Times New Roman" w:hAnsi="Times New Roman" w:cs="Times New Roman"/>
                <w:sz w:val="24"/>
                <w:szCs w:val="24"/>
              </w:rPr>
              <w:t>Popup store atmosphere is Attractive</w:t>
            </w:r>
          </w:p>
          <w:p w14:paraId="26B01CEE" w14:textId="77777777" w:rsidR="0066592C" w:rsidRPr="00626BCA" w:rsidRDefault="0066592C" w:rsidP="005562F0">
            <w:pPr>
              <w:rPr>
                <w:rFonts w:ascii="Times New Roman" w:eastAsia="Times New Roman" w:hAnsi="Times New Roman" w:cs="Times New Roman"/>
                <w:sz w:val="24"/>
                <w:szCs w:val="24"/>
              </w:rPr>
            </w:pPr>
          </w:p>
        </w:tc>
        <w:tc>
          <w:tcPr>
            <w:tcW w:w="1512" w:type="dxa"/>
            <w:vAlign w:val="center"/>
          </w:tcPr>
          <w:p w14:paraId="4D5291BB" w14:textId="77777777" w:rsidR="0066592C" w:rsidRPr="00626BCA" w:rsidRDefault="0066592C" w:rsidP="005562F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0.71</w:t>
            </w:r>
          </w:p>
        </w:tc>
        <w:tc>
          <w:tcPr>
            <w:tcW w:w="1328" w:type="dxa"/>
            <w:vAlign w:val="center"/>
          </w:tcPr>
          <w:p w14:paraId="73AD8068" w14:textId="77777777" w:rsidR="0066592C" w:rsidRPr="00626BCA" w:rsidRDefault="0066592C" w:rsidP="005562F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0.64</w:t>
            </w:r>
          </w:p>
        </w:tc>
      </w:tr>
      <w:tr w:rsidR="0066592C" w:rsidRPr="00626BCA" w14:paraId="1745A578" w14:textId="77777777" w:rsidTr="005562F0">
        <w:trPr>
          <w:trHeight w:hRule="exact" w:val="468"/>
          <w:jc w:val="center"/>
        </w:trPr>
        <w:tc>
          <w:tcPr>
            <w:tcW w:w="2609" w:type="dxa"/>
            <w:tcBorders>
              <w:bottom w:val="single" w:sz="4" w:space="0" w:color="auto"/>
            </w:tcBorders>
            <w:vAlign w:val="center"/>
          </w:tcPr>
          <w:p w14:paraId="1C5E0274" w14:textId="77777777" w:rsidR="0066592C" w:rsidRPr="00626BCA" w:rsidRDefault="0066592C" w:rsidP="005562F0">
            <w:pPr>
              <w:jc w:val="center"/>
              <w:rPr>
                <w:rFonts w:ascii="Times New Roman" w:eastAsia="Times New Roman" w:hAnsi="Times New Roman" w:cs="Times New Roman"/>
                <w:sz w:val="24"/>
                <w:szCs w:val="24"/>
              </w:rPr>
            </w:pPr>
          </w:p>
        </w:tc>
        <w:tc>
          <w:tcPr>
            <w:tcW w:w="4411" w:type="dxa"/>
            <w:tcBorders>
              <w:bottom w:val="single" w:sz="4" w:space="0" w:color="auto"/>
            </w:tcBorders>
            <w:vAlign w:val="center"/>
          </w:tcPr>
          <w:p w14:paraId="5D90D9E1" w14:textId="77777777" w:rsidR="0066592C" w:rsidRPr="00626BCA" w:rsidRDefault="0066592C" w:rsidP="005562F0">
            <w:pPr>
              <w:rPr>
                <w:rFonts w:ascii="Times New Roman" w:eastAsia="Times New Roman" w:hAnsi="Times New Roman" w:cs="Times New Roman"/>
                <w:sz w:val="24"/>
                <w:szCs w:val="24"/>
              </w:rPr>
            </w:pPr>
            <w:r w:rsidRPr="00626BCA">
              <w:rPr>
                <w:rFonts w:ascii="Times New Roman" w:eastAsia="Times New Roman" w:hAnsi="Times New Roman" w:cs="Times New Roman"/>
                <w:sz w:val="24"/>
                <w:szCs w:val="24"/>
              </w:rPr>
              <w:t>Popup store atmosphere is Pleasant</w:t>
            </w:r>
          </w:p>
        </w:tc>
        <w:tc>
          <w:tcPr>
            <w:tcW w:w="1512" w:type="dxa"/>
            <w:tcBorders>
              <w:bottom w:val="single" w:sz="4" w:space="0" w:color="auto"/>
            </w:tcBorders>
            <w:vAlign w:val="center"/>
          </w:tcPr>
          <w:p w14:paraId="1903805B" w14:textId="77777777" w:rsidR="0066592C" w:rsidRPr="00626BCA" w:rsidRDefault="0066592C" w:rsidP="005562F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0.66</w:t>
            </w:r>
          </w:p>
        </w:tc>
        <w:tc>
          <w:tcPr>
            <w:tcW w:w="1328" w:type="dxa"/>
            <w:tcBorders>
              <w:bottom w:val="single" w:sz="4" w:space="0" w:color="auto"/>
            </w:tcBorders>
            <w:vAlign w:val="center"/>
          </w:tcPr>
          <w:p w14:paraId="365FE0F3" w14:textId="77777777" w:rsidR="0066592C" w:rsidRPr="00626BCA" w:rsidRDefault="0066592C" w:rsidP="005562F0">
            <w:pPr>
              <w:jc w:val="center"/>
              <w:rPr>
                <w:rFonts w:ascii="Times New Roman" w:eastAsia="Times New Roman" w:hAnsi="Times New Roman" w:cs="Times New Roman"/>
                <w:sz w:val="24"/>
                <w:szCs w:val="24"/>
              </w:rPr>
            </w:pPr>
          </w:p>
        </w:tc>
      </w:tr>
      <w:tr w:rsidR="0066592C" w:rsidRPr="00626BCA" w14:paraId="4EEFA118" w14:textId="77777777" w:rsidTr="005562F0">
        <w:trPr>
          <w:trHeight w:hRule="exact" w:val="288"/>
          <w:jc w:val="center"/>
        </w:trPr>
        <w:tc>
          <w:tcPr>
            <w:tcW w:w="2609" w:type="dxa"/>
            <w:tcBorders>
              <w:top w:val="single" w:sz="4" w:space="0" w:color="auto"/>
            </w:tcBorders>
            <w:vAlign w:val="center"/>
          </w:tcPr>
          <w:p w14:paraId="65E9A23E" w14:textId="77777777" w:rsidR="0066592C" w:rsidRPr="00626BCA" w:rsidRDefault="0066592C" w:rsidP="005562F0">
            <w:pPr>
              <w:jc w:val="center"/>
              <w:rPr>
                <w:rFonts w:ascii="Times New Roman" w:eastAsia="Times New Roman" w:hAnsi="Times New Roman" w:cs="Times New Roman"/>
                <w:sz w:val="24"/>
                <w:szCs w:val="24"/>
              </w:rPr>
            </w:pPr>
          </w:p>
        </w:tc>
        <w:tc>
          <w:tcPr>
            <w:tcW w:w="4411" w:type="dxa"/>
            <w:tcBorders>
              <w:top w:val="single" w:sz="4" w:space="0" w:color="auto"/>
            </w:tcBorders>
            <w:vAlign w:val="center"/>
          </w:tcPr>
          <w:p w14:paraId="4F020076" w14:textId="77777777" w:rsidR="0066592C" w:rsidRPr="00626BCA" w:rsidRDefault="0066592C" w:rsidP="005562F0">
            <w:pPr>
              <w:rPr>
                <w:rFonts w:ascii="Times New Roman" w:eastAsia="Times New Roman" w:hAnsi="Times New Roman" w:cs="Times New Roman"/>
                <w:sz w:val="24"/>
                <w:szCs w:val="24"/>
              </w:rPr>
            </w:pPr>
          </w:p>
        </w:tc>
        <w:tc>
          <w:tcPr>
            <w:tcW w:w="1512" w:type="dxa"/>
            <w:tcBorders>
              <w:top w:val="single" w:sz="4" w:space="0" w:color="auto"/>
            </w:tcBorders>
            <w:vAlign w:val="center"/>
          </w:tcPr>
          <w:p w14:paraId="1AD883D7" w14:textId="77777777" w:rsidR="0066592C" w:rsidRPr="00626BCA" w:rsidRDefault="0066592C" w:rsidP="005562F0">
            <w:pPr>
              <w:jc w:val="center"/>
              <w:rPr>
                <w:rFonts w:ascii="Times New Roman" w:eastAsia="Times New Roman" w:hAnsi="Times New Roman" w:cs="Times New Roman"/>
                <w:sz w:val="24"/>
                <w:szCs w:val="24"/>
              </w:rPr>
            </w:pPr>
          </w:p>
        </w:tc>
        <w:tc>
          <w:tcPr>
            <w:tcW w:w="1328" w:type="dxa"/>
            <w:tcBorders>
              <w:top w:val="single" w:sz="4" w:space="0" w:color="auto"/>
            </w:tcBorders>
            <w:vAlign w:val="center"/>
          </w:tcPr>
          <w:p w14:paraId="7F4681D4" w14:textId="77777777" w:rsidR="0066592C" w:rsidRPr="00626BCA" w:rsidRDefault="0066592C" w:rsidP="005562F0">
            <w:pPr>
              <w:jc w:val="center"/>
              <w:rPr>
                <w:rFonts w:ascii="Times New Roman" w:eastAsia="Times New Roman" w:hAnsi="Times New Roman" w:cs="Times New Roman"/>
                <w:sz w:val="24"/>
                <w:szCs w:val="24"/>
              </w:rPr>
            </w:pPr>
          </w:p>
        </w:tc>
      </w:tr>
      <w:tr w:rsidR="0066592C" w:rsidRPr="00626BCA" w14:paraId="28685741" w14:textId="77777777" w:rsidTr="005562F0">
        <w:trPr>
          <w:trHeight w:hRule="exact" w:val="630"/>
          <w:jc w:val="center"/>
        </w:trPr>
        <w:tc>
          <w:tcPr>
            <w:tcW w:w="2609" w:type="dxa"/>
            <w:vAlign w:val="center"/>
          </w:tcPr>
          <w:p w14:paraId="5A03F1F4" w14:textId="77777777" w:rsidR="0066592C" w:rsidRPr="00626BCA" w:rsidRDefault="0066592C" w:rsidP="005562F0">
            <w:pPr>
              <w:jc w:val="center"/>
              <w:rPr>
                <w:rFonts w:ascii="Times New Roman" w:eastAsia="Times New Roman" w:hAnsi="Times New Roman" w:cs="Times New Roman"/>
                <w:sz w:val="24"/>
                <w:szCs w:val="24"/>
              </w:rPr>
            </w:pPr>
            <w:r w:rsidRPr="00626BCA">
              <w:rPr>
                <w:rFonts w:ascii="Times New Roman" w:eastAsia="Times New Roman" w:hAnsi="Times New Roman" w:cs="Times New Roman"/>
                <w:sz w:val="24"/>
                <w:szCs w:val="24"/>
              </w:rPr>
              <w:t>Popup store Brand Experience</w:t>
            </w:r>
          </w:p>
        </w:tc>
        <w:tc>
          <w:tcPr>
            <w:tcW w:w="4411" w:type="dxa"/>
            <w:vAlign w:val="center"/>
          </w:tcPr>
          <w:p w14:paraId="64660E7B" w14:textId="77777777" w:rsidR="0066592C" w:rsidRPr="00626BCA" w:rsidRDefault="0066592C" w:rsidP="005562F0">
            <w:pPr>
              <w:rPr>
                <w:rFonts w:ascii="Times New Roman" w:eastAsia="Times New Roman" w:hAnsi="Times New Roman" w:cs="Times New Roman"/>
                <w:sz w:val="24"/>
                <w:szCs w:val="24"/>
              </w:rPr>
            </w:pPr>
            <w:r w:rsidRPr="00626BCA">
              <w:rPr>
                <w:rFonts w:ascii="Times New Roman" w:eastAsia="Times New Roman" w:hAnsi="Times New Roman" w:cs="Times New Roman"/>
                <w:sz w:val="24"/>
                <w:szCs w:val="24"/>
              </w:rPr>
              <w:t>Popup stores induce feelings and sentiments in me</w:t>
            </w:r>
          </w:p>
        </w:tc>
        <w:tc>
          <w:tcPr>
            <w:tcW w:w="1512" w:type="dxa"/>
            <w:vAlign w:val="center"/>
          </w:tcPr>
          <w:p w14:paraId="3A4673A7" w14:textId="77777777" w:rsidR="0066592C" w:rsidRPr="00626BCA" w:rsidRDefault="0066592C" w:rsidP="005562F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0.80</w:t>
            </w:r>
          </w:p>
        </w:tc>
        <w:tc>
          <w:tcPr>
            <w:tcW w:w="1328" w:type="dxa"/>
            <w:vAlign w:val="center"/>
          </w:tcPr>
          <w:p w14:paraId="3BCFA7E2" w14:textId="77777777" w:rsidR="0066592C" w:rsidRPr="00626BCA" w:rsidRDefault="0066592C" w:rsidP="005562F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0.74</w:t>
            </w:r>
          </w:p>
        </w:tc>
      </w:tr>
      <w:tr w:rsidR="0066592C" w:rsidRPr="00626BCA" w14:paraId="4125C4B7" w14:textId="77777777" w:rsidTr="005562F0">
        <w:trPr>
          <w:trHeight w:hRule="exact" w:val="288"/>
          <w:jc w:val="center"/>
        </w:trPr>
        <w:tc>
          <w:tcPr>
            <w:tcW w:w="2609" w:type="dxa"/>
            <w:vAlign w:val="center"/>
          </w:tcPr>
          <w:p w14:paraId="45E81D66" w14:textId="77777777" w:rsidR="0066592C" w:rsidRPr="00626BCA" w:rsidRDefault="0066592C" w:rsidP="005562F0">
            <w:pPr>
              <w:jc w:val="center"/>
              <w:rPr>
                <w:rFonts w:ascii="Times New Roman" w:eastAsia="Times New Roman" w:hAnsi="Times New Roman" w:cs="Times New Roman"/>
                <w:sz w:val="24"/>
                <w:szCs w:val="24"/>
              </w:rPr>
            </w:pPr>
          </w:p>
        </w:tc>
        <w:tc>
          <w:tcPr>
            <w:tcW w:w="4411" w:type="dxa"/>
            <w:vAlign w:val="center"/>
          </w:tcPr>
          <w:p w14:paraId="74BCA226" w14:textId="77777777" w:rsidR="0066592C" w:rsidRPr="00626BCA" w:rsidRDefault="0066592C" w:rsidP="005562F0">
            <w:pPr>
              <w:rPr>
                <w:rFonts w:ascii="Times New Roman" w:eastAsia="Times New Roman" w:hAnsi="Times New Roman" w:cs="Times New Roman"/>
                <w:sz w:val="24"/>
                <w:szCs w:val="24"/>
              </w:rPr>
            </w:pPr>
            <w:r w:rsidRPr="00626BCA">
              <w:rPr>
                <w:rFonts w:ascii="Times New Roman" w:eastAsia="Times New Roman" w:hAnsi="Times New Roman" w:cs="Times New Roman"/>
                <w:sz w:val="24"/>
                <w:szCs w:val="24"/>
              </w:rPr>
              <w:t>I have strong emotions for Popup stores</w:t>
            </w:r>
          </w:p>
        </w:tc>
        <w:tc>
          <w:tcPr>
            <w:tcW w:w="1512" w:type="dxa"/>
            <w:vAlign w:val="center"/>
          </w:tcPr>
          <w:p w14:paraId="03A592AE" w14:textId="77777777" w:rsidR="0066592C" w:rsidRPr="00626BCA" w:rsidRDefault="0066592C" w:rsidP="005562F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0.72</w:t>
            </w:r>
          </w:p>
        </w:tc>
        <w:tc>
          <w:tcPr>
            <w:tcW w:w="1328" w:type="dxa"/>
            <w:vAlign w:val="center"/>
          </w:tcPr>
          <w:p w14:paraId="01F8CEE4" w14:textId="77777777" w:rsidR="0066592C" w:rsidRPr="00626BCA" w:rsidRDefault="0066592C" w:rsidP="005562F0">
            <w:pPr>
              <w:jc w:val="center"/>
              <w:rPr>
                <w:rFonts w:ascii="Times New Roman" w:eastAsia="Times New Roman" w:hAnsi="Times New Roman" w:cs="Times New Roman"/>
                <w:sz w:val="24"/>
                <w:szCs w:val="24"/>
              </w:rPr>
            </w:pPr>
          </w:p>
        </w:tc>
      </w:tr>
      <w:tr w:rsidR="0066592C" w:rsidRPr="00626BCA" w14:paraId="1CB093FA" w14:textId="77777777" w:rsidTr="005562F0">
        <w:trPr>
          <w:trHeight w:hRule="exact" w:val="405"/>
          <w:jc w:val="center"/>
        </w:trPr>
        <w:tc>
          <w:tcPr>
            <w:tcW w:w="2609" w:type="dxa"/>
            <w:vAlign w:val="center"/>
          </w:tcPr>
          <w:p w14:paraId="60F869B0" w14:textId="77777777" w:rsidR="0066592C" w:rsidRPr="00626BCA" w:rsidRDefault="0066592C" w:rsidP="005562F0">
            <w:pPr>
              <w:jc w:val="center"/>
              <w:rPr>
                <w:rFonts w:ascii="Times New Roman" w:eastAsia="Times New Roman" w:hAnsi="Times New Roman" w:cs="Times New Roman"/>
                <w:sz w:val="24"/>
                <w:szCs w:val="24"/>
              </w:rPr>
            </w:pPr>
          </w:p>
        </w:tc>
        <w:tc>
          <w:tcPr>
            <w:tcW w:w="4411" w:type="dxa"/>
            <w:vAlign w:val="center"/>
          </w:tcPr>
          <w:p w14:paraId="34FB612D" w14:textId="77777777" w:rsidR="0066592C" w:rsidRPr="00626BCA" w:rsidRDefault="0066592C" w:rsidP="005562F0">
            <w:pPr>
              <w:rPr>
                <w:rFonts w:ascii="Times New Roman" w:eastAsia="Times New Roman" w:hAnsi="Times New Roman" w:cs="Times New Roman"/>
                <w:sz w:val="24"/>
                <w:szCs w:val="24"/>
              </w:rPr>
            </w:pPr>
            <w:r w:rsidRPr="00626BCA">
              <w:rPr>
                <w:rFonts w:ascii="Times New Roman" w:eastAsia="Times New Roman" w:hAnsi="Times New Roman" w:cs="Times New Roman"/>
                <w:sz w:val="24"/>
                <w:szCs w:val="24"/>
              </w:rPr>
              <w:t>Popup store brands are emotional brands</w:t>
            </w:r>
          </w:p>
        </w:tc>
        <w:tc>
          <w:tcPr>
            <w:tcW w:w="1512" w:type="dxa"/>
            <w:vAlign w:val="center"/>
          </w:tcPr>
          <w:p w14:paraId="2ACBC5D4" w14:textId="77777777" w:rsidR="0066592C" w:rsidRPr="00626BCA" w:rsidRDefault="0066592C" w:rsidP="005562F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0.57</w:t>
            </w:r>
          </w:p>
        </w:tc>
        <w:tc>
          <w:tcPr>
            <w:tcW w:w="1328" w:type="dxa"/>
            <w:vAlign w:val="center"/>
          </w:tcPr>
          <w:p w14:paraId="66711E9E" w14:textId="77777777" w:rsidR="0066592C" w:rsidRPr="00626BCA" w:rsidRDefault="0066592C" w:rsidP="005562F0">
            <w:pPr>
              <w:jc w:val="center"/>
              <w:rPr>
                <w:rFonts w:ascii="Times New Roman" w:eastAsia="Times New Roman" w:hAnsi="Times New Roman" w:cs="Times New Roman"/>
                <w:sz w:val="24"/>
                <w:szCs w:val="24"/>
              </w:rPr>
            </w:pPr>
          </w:p>
        </w:tc>
      </w:tr>
      <w:tr w:rsidR="0066592C" w:rsidRPr="00626BCA" w14:paraId="6FE5181C" w14:textId="77777777" w:rsidTr="005562F0">
        <w:trPr>
          <w:trHeight w:hRule="exact" w:val="775"/>
          <w:jc w:val="center"/>
        </w:trPr>
        <w:tc>
          <w:tcPr>
            <w:tcW w:w="2609" w:type="dxa"/>
            <w:tcBorders>
              <w:top w:val="single" w:sz="4" w:space="0" w:color="auto"/>
            </w:tcBorders>
            <w:vAlign w:val="center"/>
          </w:tcPr>
          <w:p w14:paraId="3D29ABF9" w14:textId="77777777" w:rsidR="0066592C" w:rsidRPr="00626BCA" w:rsidRDefault="0066592C" w:rsidP="005562F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WOM</w:t>
            </w:r>
            <w:r w:rsidRPr="00626BCA">
              <w:rPr>
                <w:rFonts w:ascii="Times New Roman" w:eastAsia="Times New Roman" w:hAnsi="Times New Roman" w:cs="Times New Roman"/>
                <w:sz w:val="24"/>
                <w:szCs w:val="24"/>
              </w:rPr>
              <w:t xml:space="preserve"> intentions for Popup stores</w:t>
            </w:r>
          </w:p>
        </w:tc>
        <w:tc>
          <w:tcPr>
            <w:tcW w:w="4411" w:type="dxa"/>
            <w:tcBorders>
              <w:top w:val="single" w:sz="4" w:space="0" w:color="auto"/>
            </w:tcBorders>
            <w:vAlign w:val="center"/>
          </w:tcPr>
          <w:p w14:paraId="02B7343F" w14:textId="77777777" w:rsidR="0066592C" w:rsidRPr="00626BCA" w:rsidRDefault="0066592C" w:rsidP="005562F0">
            <w:pPr>
              <w:rPr>
                <w:rFonts w:ascii="Times New Roman" w:eastAsia="Times New Roman" w:hAnsi="Times New Roman" w:cs="Times New Roman"/>
                <w:sz w:val="24"/>
                <w:szCs w:val="24"/>
              </w:rPr>
            </w:pPr>
            <w:r w:rsidRPr="00626BCA">
              <w:rPr>
                <w:rFonts w:ascii="Times New Roman" w:eastAsia="Times New Roman" w:hAnsi="Times New Roman" w:cs="Times New Roman"/>
                <w:sz w:val="24"/>
                <w:szCs w:val="24"/>
              </w:rPr>
              <w:t xml:space="preserve">I will spread positive </w:t>
            </w:r>
            <w:r>
              <w:rPr>
                <w:rFonts w:ascii="Times New Roman" w:eastAsia="Times New Roman" w:hAnsi="Times New Roman" w:cs="Times New Roman"/>
                <w:sz w:val="24"/>
                <w:szCs w:val="24"/>
              </w:rPr>
              <w:t>WOM</w:t>
            </w:r>
            <w:r w:rsidRPr="00626BCA">
              <w:rPr>
                <w:rFonts w:ascii="Times New Roman" w:eastAsia="Times New Roman" w:hAnsi="Times New Roman" w:cs="Times New Roman"/>
                <w:sz w:val="24"/>
                <w:szCs w:val="24"/>
              </w:rPr>
              <w:t xml:space="preserve"> about my favorite lifestyle &amp; accessory brands</w:t>
            </w:r>
          </w:p>
        </w:tc>
        <w:tc>
          <w:tcPr>
            <w:tcW w:w="1512" w:type="dxa"/>
            <w:tcBorders>
              <w:top w:val="single" w:sz="4" w:space="0" w:color="auto"/>
            </w:tcBorders>
            <w:vAlign w:val="center"/>
          </w:tcPr>
          <w:p w14:paraId="495BFE9F" w14:textId="77777777" w:rsidR="0066592C" w:rsidRPr="00626BCA" w:rsidRDefault="0066592C" w:rsidP="005562F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0.73</w:t>
            </w:r>
          </w:p>
        </w:tc>
        <w:tc>
          <w:tcPr>
            <w:tcW w:w="1328" w:type="dxa"/>
            <w:tcBorders>
              <w:top w:val="single" w:sz="4" w:space="0" w:color="auto"/>
            </w:tcBorders>
            <w:vAlign w:val="center"/>
          </w:tcPr>
          <w:p w14:paraId="6943FA45" w14:textId="77777777" w:rsidR="0066592C" w:rsidRPr="00626BCA" w:rsidRDefault="0066592C" w:rsidP="005562F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0.80</w:t>
            </w:r>
          </w:p>
        </w:tc>
      </w:tr>
      <w:tr w:rsidR="0066592C" w:rsidRPr="00626BCA" w14:paraId="24A61422" w14:textId="77777777" w:rsidTr="005562F0">
        <w:trPr>
          <w:trHeight w:hRule="exact" w:val="702"/>
          <w:jc w:val="center"/>
        </w:trPr>
        <w:tc>
          <w:tcPr>
            <w:tcW w:w="2609" w:type="dxa"/>
            <w:vAlign w:val="center"/>
          </w:tcPr>
          <w:p w14:paraId="42DACB5B" w14:textId="77777777" w:rsidR="0066592C" w:rsidRPr="00626BCA" w:rsidRDefault="0066592C" w:rsidP="005562F0">
            <w:pPr>
              <w:jc w:val="center"/>
              <w:rPr>
                <w:rFonts w:ascii="Times New Roman" w:eastAsia="Times New Roman" w:hAnsi="Times New Roman" w:cs="Times New Roman"/>
                <w:sz w:val="24"/>
                <w:szCs w:val="24"/>
              </w:rPr>
            </w:pPr>
          </w:p>
        </w:tc>
        <w:tc>
          <w:tcPr>
            <w:tcW w:w="4411" w:type="dxa"/>
            <w:vAlign w:val="center"/>
          </w:tcPr>
          <w:p w14:paraId="5EB82C29" w14:textId="77777777" w:rsidR="0066592C" w:rsidRPr="00626BCA" w:rsidRDefault="0066592C" w:rsidP="005562F0">
            <w:pPr>
              <w:rPr>
                <w:rFonts w:ascii="Times New Roman" w:eastAsia="Times New Roman" w:hAnsi="Times New Roman" w:cs="Times New Roman"/>
                <w:sz w:val="24"/>
                <w:szCs w:val="24"/>
              </w:rPr>
            </w:pPr>
            <w:r w:rsidRPr="00626BCA">
              <w:rPr>
                <w:rFonts w:ascii="Times New Roman" w:eastAsia="Times New Roman" w:hAnsi="Times New Roman" w:cs="Times New Roman"/>
                <w:sz w:val="24"/>
                <w:szCs w:val="24"/>
              </w:rPr>
              <w:t>I will happily recommend my favorite lifestyle and accessory brand to my friends.</w:t>
            </w:r>
          </w:p>
          <w:p w14:paraId="5A831362" w14:textId="77777777" w:rsidR="0066592C" w:rsidRPr="00626BCA" w:rsidRDefault="0066592C" w:rsidP="005562F0">
            <w:pPr>
              <w:rPr>
                <w:rFonts w:ascii="Times New Roman" w:eastAsia="Times New Roman" w:hAnsi="Times New Roman" w:cs="Times New Roman"/>
                <w:sz w:val="24"/>
                <w:szCs w:val="24"/>
              </w:rPr>
            </w:pPr>
          </w:p>
        </w:tc>
        <w:tc>
          <w:tcPr>
            <w:tcW w:w="1512" w:type="dxa"/>
            <w:vAlign w:val="center"/>
          </w:tcPr>
          <w:p w14:paraId="718B856B" w14:textId="77777777" w:rsidR="0066592C" w:rsidRPr="00626BCA" w:rsidRDefault="0066592C" w:rsidP="005562F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0.78</w:t>
            </w:r>
          </w:p>
        </w:tc>
        <w:tc>
          <w:tcPr>
            <w:tcW w:w="1328" w:type="dxa"/>
            <w:vAlign w:val="center"/>
          </w:tcPr>
          <w:p w14:paraId="108A4C84" w14:textId="77777777" w:rsidR="0066592C" w:rsidRPr="00626BCA" w:rsidRDefault="0066592C" w:rsidP="005562F0">
            <w:pPr>
              <w:jc w:val="center"/>
              <w:rPr>
                <w:rFonts w:ascii="Times New Roman" w:eastAsia="Times New Roman" w:hAnsi="Times New Roman" w:cs="Times New Roman"/>
                <w:sz w:val="24"/>
                <w:szCs w:val="24"/>
              </w:rPr>
            </w:pPr>
          </w:p>
        </w:tc>
      </w:tr>
      <w:tr w:rsidR="0066592C" w:rsidRPr="00626BCA" w14:paraId="2D84EDF5" w14:textId="77777777" w:rsidTr="005562F0">
        <w:trPr>
          <w:trHeight w:hRule="exact" w:val="900"/>
          <w:jc w:val="center"/>
        </w:trPr>
        <w:tc>
          <w:tcPr>
            <w:tcW w:w="2609" w:type="dxa"/>
            <w:vAlign w:val="center"/>
          </w:tcPr>
          <w:p w14:paraId="125F2E54" w14:textId="77777777" w:rsidR="0066592C" w:rsidRPr="00626BCA" w:rsidRDefault="0066592C" w:rsidP="005562F0">
            <w:pPr>
              <w:jc w:val="center"/>
              <w:rPr>
                <w:rFonts w:ascii="Times New Roman" w:eastAsia="Times New Roman" w:hAnsi="Times New Roman" w:cs="Times New Roman"/>
                <w:sz w:val="24"/>
                <w:szCs w:val="24"/>
              </w:rPr>
            </w:pPr>
          </w:p>
        </w:tc>
        <w:tc>
          <w:tcPr>
            <w:tcW w:w="4411" w:type="dxa"/>
            <w:vAlign w:val="center"/>
          </w:tcPr>
          <w:p w14:paraId="6880F50D" w14:textId="77777777" w:rsidR="0066592C" w:rsidRPr="00626BCA" w:rsidRDefault="0066592C" w:rsidP="005562F0">
            <w:pPr>
              <w:rPr>
                <w:rFonts w:ascii="Times New Roman" w:eastAsia="Times New Roman" w:hAnsi="Times New Roman" w:cs="Times New Roman"/>
                <w:sz w:val="24"/>
                <w:szCs w:val="24"/>
              </w:rPr>
            </w:pPr>
            <w:r w:rsidRPr="00626BCA">
              <w:rPr>
                <w:rFonts w:ascii="Times New Roman" w:eastAsia="Times New Roman" w:hAnsi="Times New Roman" w:cs="Times New Roman"/>
                <w:sz w:val="24"/>
                <w:szCs w:val="24"/>
              </w:rPr>
              <w:t>If my friends were looking for an a lifestyle or accessory brand I would recommend a brand to them</w:t>
            </w:r>
          </w:p>
        </w:tc>
        <w:tc>
          <w:tcPr>
            <w:tcW w:w="1512" w:type="dxa"/>
            <w:vAlign w:val="center"/>
          </w:tcPr>
          <w:p w14:paraId="3645D7D4" w14:textId="77777777" w:rsidR="0066592C" w:rsidRPr="00626BCA" w:rsidRDefault="0066592C" w:rsidP="005562F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0.73</w:t>
            </w:r>
          </w:p>
        </w:tc>
        <w:tc>
          <w:tcPr>
            <w:tcW w:w="1328" w:type="dxa"/>
            <w:vAlign w:val="center"/>
          </w:tcPr>
          <w:p w14:paraId="3075AD45" w14:textId="77777777" w:rsidR="0066592C" w:rsidRPr="00626BCA" w:rsidRDefault="0066592C" w:rsidP="005562F0">
            <w:pPr>
              <w:jc w:val="center"/>
              <w:rPr>
                <w:rFonts w:ascii="Times New Roman" w:eastAsia="Times New Roman" w:hAnsi="Times New Roman" w:cs="Times New Roman"/>
                <w:sz w:val="24"/>
                <w:szCs w:val="24"/>
              </w:rPr>
            </w:pPr>
          </w:p>
        </w:tc>
      </w:tr>
      <w:tr w:rsidR="0066592C" w:rsidRPr="00626BCA" w14:paraId="5B7D04AF" w14:textId="77777777" w:rsidTr="005562F0">
        <w:trPr>
          <w:trHeight w:hRule="exact" w:val="703"/>
          <w:jc w:val="center"/>
        </w:trPr>
        <w:tc>
          <w:tcPr>
            <w:tcW w:w="2609" w:type="dxa"/>
            <w:tcBorders>
              <w:top w:val="single" w:sz="4" w:space="0" w:color="auto"/>
            </w:tcBorders>
            <w:vAlign w:val="center"/>
          </w:tcPr>
          <w:p w14:paraId="5FA9AB31" w14:textId="77777777" w:rsidR="0066592C" w:rsidRPr="00626BCA" w:rsidRDefault="0066592C" w:rsidP="005562F0">
            <w:pPr>
              <w:jc w:val="center"/>
              <w:rPr>
                <w:rFonts w:ascii="Times New Roman" w:eastAsia="Times New Roman" w:hAnsi="Times New Roman" w:cs="Times New Roman"/>
                <w:sz w:val="24"/>
                <w:szCs w:val="24"/>
              </w:rPr>
            </w:pPr>
            <w:r w:rsidRPr="00626BCA">
              <w:rPr>
                <w:rFonts w:ascii="Times New Roman" w:eastAsia="Times New Roman" w:hAnsi="Times New Roman" w:cs="Times New Roman"/>
                <w:sz w:val="24"/>
                <w:szCs w:val="24"/>
              </w:rPr>
              <w:t>Brand Familiarity for Popup brand stores</w:t>
            </w:r>
          </w:p>
        </w:tc>
        <w:tc>
          <w:tcPr>
            <w:tcW w:w="4411" w:type="dxa"/>
            <w:tcBorders>
              <w:top w:val="single" w:sz="4" w:space="0" w:color="auto"/>
            </w:tcBorders>
            <w:vAlign w:val="center"/>
          </w:tcPr>
          <w:p w14:paraId="0B1952D1" w14:textId="77777777" w:rsidR="0066592C" w:rsidRPr="00626BCA" w:rsidRDefault="0066592C" w:rsidP="005562F0">
            <w:pPr>
              <w:rPr>
                <w:rFonts w:ascii="Times New Roman" w:eastAsia="Times New Roman" w:hAnsi="Times New Roman" w:cs="Times New Roman"/>
                <w:sz w:val="24"/>
                <w:szCs w:val="24"/>
              </w:rPr>
            </w:pPr>
            <w:r w:rsidRPr="00626BCA">
              <w:rPr>
                <w:rFonts w:ascii="Times New Roman" w:eastAsia="Times New Roman" w:hAnsi="Times New Roman" w:cs="Times New Roman"/>
                <w:sz w:val="24"/>
                <w:szCs w:val="24"/>
              </w:rPr>
              <w:t>I’m familiar with my lifestyle and accessory brand.</w:t>
            </w:r>
          </w:p>
        </w:tc>
        <w:tc>
          <w:tcPr>
            <w:tcW w:w="1512" w:type="dxa"/>
            <w:tcBorders>
              <w:top w:val="single" w:sz="4" w:space="0" w:color="auto"/>
            </w:tcBorders>
            <w:vAlign w:val="center"/>
          </w:tcPr>
          <w:p w14:paraId="658AD17F" w14:textId="77777777" w:rsidR="0066592C" w:rsidRPr="00626BCA" w:rsidRDefault="0066592C" w:rsidP="005562F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328" w:type="dxa"/>
            <w:tcBorders>
              <w:top w:val="single" w:sz="4" w:space="0" w:color="auto"/>
            </w:tcBorders>
            <w:vAlign w:val="center"/>
          </w:tcPr>
          <w:p w14:paraId="1993F079" w14:textId="77777777" w:rsidR="0066592C" w:rsidRPr="00626BCA" w:rsidRDefault="0066592C" w:rsidP="005562F0">
            <w:pPr>
              <w:jc w:val="center"/>
              <w:rPr>
                <w:rFonts w:ascii="Times New Roman" w:eastAsia="Times New Roman" w:hAnsi="Times New Roman" w:cs="Times New Roman"/>
                <w:sz w:val="24"/>
                <w:szCs w:val="24"/>
              </w:rPr>
            </w:pPr>
          </w:p>
        </w:tc>
      </w:tr>
      <w:tr w:rsidR="0066592C" w:rsidRPr="00626BCA" w14:paraId="6C8AE3B3" w14:textId="77777777" w:rsidTr="005562F0">
        <w:trPr>
          <w:trHeight w:val="111"/>
          <w:jc w:val="center"/>
        </w:trPr>
        <w:tc>
          <w:tcPr>
            <w:tcW w:w="2609" w:type="dxa"/>
            <w:tcBorders>
              <w:bottom w:val="single" w:sz="4" w:space="0" w:color="auto"/>
            </w:tcBorders>
            <w:vAlign w:val="center"/>
          </w:tcPr>
          <w:p w14:paraId="6629864A" w14:textId="77777777" w:rsidR="0066592C" w:rsidRPr="00626BCA" w:rsidRDefault="0066592C" w:rsidP="005562F0">
            <w:pPr>
              <w:jc w:val="center"/>
              <w:rPr>
                <w:rFonts w:ascii="Times New Roman" w:eastAsia="Times New Roman" w:hAnsi="Times New Roman" w:cs="Times New Roman"/>
                <w:sz w:val="24"/>
                <w:szCs w:val="24"/>
              </w:rPr>
            </w:pPr>
          </w:p>
        </w:tc>
        <w:tc>
          <w:tcPr>
            <w:tcW w:w="4411" w:type="dxa"/>
            <w:tcBorders>
              <w:bottom w:val="single" w:sz="4" w:space="0" w:color="auto"/>
            </w:tcBorders>
            <w:vAlign w:val="center"/>
          </w:tcPr>
          <w:p w14:paraId="6211A11E" w14:textId="77777777" w:rsidR="0066592C" w:rsidRPr="00626BCA" w:rsidRDefault="0066592C" w:rsidP="005562F0">
            <w:pPr>
              <w:rPr>
                <w:rFonts w:ascii="Times New Roman" w:eastAsia="Times New Roman" w:hAnsi="Times New Roman" w:cs="Times New Roman"/>
                <w:sz w:val="24"/>
                <w:szCs w:val="24"/>
              </w:rPr>
            </w:pPr>
          </w:p>
        </w:tc>
        <w:tc>
          <w:tcPr>
            <w:tcW w:w="1512" w:type="dxa"/>
            <w:tcBorders>
              <w:bottom w:val="single" w:sz="4" w:space="0" w:color="auto"/>
            </w:tcBorders>
            <w:vAlign w:val="center"/>
          </w:tcPr>
          <w:p w14:paraId="595EECBD" w14:textId="77777777" w:rsidR="0066592C" w:rsidRPr="00626BCA" w:rsidRDefault="0066592C" w:rsidP="005562F0">
            <w:pPr>
              <w:jc w:val="center"/>
              <w:rPr>
                <w:rFonts w:ascii="Times New Roman" w:eastAsia="Times New Roman" w:hAnsi="Times New Roman" w:cs="Times New Roman"/>
                <w:sz w:val="24"/>
                <w:szCs w:val="24"/>
              </w:rPr>
            </w:pPr>
          </w:p>
        </w:tc>
        <w:tc>
          <w:tcPr>
            <w:tcW w:w="1328" w:type="dxa"/>
            <w:tcBorders>
              <w:bottom w:val="single" w:sz="4" w:space="0" w:color="auto"/>
            </w:tcBorders>
            <w:vAlign w:val="center"/>
          </w:tcPr>
          <w:p w14:paraId="29ACFDA1" w14:textId="77777777" w:rsidR="0066592C" w:rsidRPr="00626BCA" w:rsidRDefault="0066592C" w:rsidP="005562F0">
            <w:pPr>
              <w:jc w:val="center"/>
              <w:rPr>
                <w:rFonts w:ascii="Times New Roman" w:eastAsia="Times New Roman" w:hAnsi="Times New Roman" w:cs="Times New Roman"/>
                <w:sz w:val="24"/>
                <w:szCs w:val="24"/>
              </w:rPr>
            </w:pPr>
          </w:p>
        </w:tc>
      </w:tr>
      <w:tr w:rsidR="0066592C" w:rsidRPr="00626BCA" w14:paraId="1D4B7840" w14:textId="77777777" w:rsidTr="005562F0">
        <w:trPr>
          <w:trHeight w:val="105"/>
          <w:jc w:val="center"/>
        </w:trPr>
        <w:tc>
          <w:tcPr>
            <w:tcW w:w="2609" w:type="dxa"/>
            <w:tcBorders>
              <w:top w:val="single" w:sz="4" w:space="0" w:color="auto"/>
            </w:tcBorders>
            <w:vAlign w:val="center"/>
          </w:tcPr>
          <w:p w14:paraId="274E3E8B" w14:textId="77777777" w:rsidR="0066592C" w:rsidRPr="00626BCA" w:rsidRDefault="0066592C" w:rsidP="005562F0">
            <w:pPr>
              <w:jc w:val="center"/>
              <w:rPr>
                <w:rFonts w:ascii="Times New Roman" w:eastAsia="Times New Roman" w:hAnsi="Times New Roman" w:cs="Times New Roman"/>
                <w:sz w:val="24"/>
                <w:szCs w:val="24"/>
              </w:rPr>
            </w:pPr>
          </w:p>
        </w:tc>
        <w:tc>
          <w:tcPr>
            <w:tcW w:w="4411" w:type="dxa"/>
            <w:tcBorders>
              <w:top w:val="single" w:sz="4" w:space="0" w:color="auto"/>
            </w:tcBorders>
            <w:vAlign w:val="center"/>
          </w:tcPr>
          <w:p w14:paraId="7FC21F5A" w14:textId="77777777" w:rsidR="0066592C" w:rsidRPr="00626BCA" w:rsidRDefault="0066592C" w:rsidP="005562F0">
            <w:pPr>
              <w:rPr>
                <w:rFonts w:ascii="Times New Roman" w:eastAsia="Times New Roman" w:hAnsi="Times New Roman" w:cs="Times New Roman"/>
                <w:sz w:val="24"/>
                <w:szCs w:val="24"/>
              </w:rPr>
            </w:pPr>
          </w:p>
        </w:tc>
        <w:tc>
          <w:tcPr>
            <w:tcW w:w="1512" w:type="dxa"/>
            <w:tcBorders>
              <w:top w:val="single" w:sz="4" w:space="0" w:color="auto"/>
            </w:tcBorders>
            <w:vAlign w:val="center"/>
          </w:tcPr>
          <w:p w14:paraId="5539BD20" w14:textId="77777777" w:rsidR="0066592C" w:rsidRPr="00626BCA" w:rsidRDefault="0066592C" w:rsidP="005562F0">
            <w:pPr>
              <w:jc w:val="center"/>
              <w:rPr>
                <w:rFonts w:ascii="Times New Roman" w:eastAsia="Times New Roman" w:hAnsi="Times New Roman" w:cs="Times New Roman"/>
                <w:sz w:val="24"/>
                <w:szCs w:val="24"/>
              </w:rPr>
            </w:pPr>
          </w:p>
        </w:tc>
        <w:tc>
          <w:tcPr>
            <w:tcW w:w="1328" w:type="dxa"/>
            <w:tcBorders>
              <w:top w:val="single" w:sz="4" w:space="0" w:color="auto"/>
            </w:tcBorders>
            <w:vAlign w:val="center"/>
          </w:tcPr>
          <w:p w14:paraId="2319512A" w14:textId="77777777" w:rsidR="0066592C" w:rsidRPr="00626BCA" w:rsidRDefault="0066592C" w:rsidP="005562F0">
            <w:pPr>
              <w:jc w:val="center"/>
              <w:rPr>
                <w:rFonts w:ascii="Times New Roman" w:eastAsia="Times New Roman" w:hAnsi="Times New Roman" w:cs="Times New Roman"/>
                <w:sz w:val="24"/>
                <w:szCs w:val="24"/>
              </w:rPr>
            </w:pPr>
          </w:p>
        </w:tc>
      </w:tr>
    </w:tbl>
    <w:p w14:paraId="06EAF68A" w14:textId="77777777" w:rsidR="0066592C" w:rsidRDefault="0066592C" w:rsidP="00EB7F28">
      <w:pPr>
        <w:spacing w:line="240" w:lineRule="auto"/>
        <w:rPr>
          <w:rFonts w:ascii="Times New Roman" w:eastAsia="Times New Roman" w:hAnsi="Times New Roman" w:cs="Times New Roman"/>
          <w:sz w:val="24"/>
          <w:szCs w:val="24"/>
        </w:rPr>
      </w:pPr>
    </w:p>
    <w:p w14:paraId="55BA7879" w14:textId="3334023A" w:rsidR="00977DD2" w:rsidRDefault="00977DD2" w:rsidP="00977DD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Table 3 Confirmatory Factor Analysis, Average Variance Extracted and Shared Variance.</w:t>
      </w:r>
    </w:p>
    <w:p w14:paraId="6D463DDD" w14:textId="401FB8CD" w:rsidR="0081371C" w:rsidRDefault="0081371C" w:rsidP="00977DD2">
      <w:pPr>
        <w:spacing w:line="240" w:lineRule="auto"/>
        <w:rPr>
          <w:rFonts w:ascii="Times New Roman" w:eastAsia="Times New Roman" w:hAnsi="Times New Roman" w:cs="Times New Roman"/>
          <w:sz w:val="24"/>
          <w:szCs w:val="24"/>
        </w:rPr>
      </w:pPr>
      <w:r w:rsidRPr="0081371C">
        <w:rPr>
          <w:noProof/>
        </w:rPr>
        <w:drawing>
          <wp:inline distT="0" distB="0" distL="0" distR="0" wp14:anchorId="2E32C392" wp14:editId="6726372D">
            <wp:extent cx="5381625" cy="26098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81625" cy="2609850"/>
                    </a:xfrm>
                    <a:prstGeom prst="rect">
                      <a:avLst/>
                    </a:prstGeom>
                    <a:noFill/>
                    <a:ln>
                      <a:noFill/>
                    </a:ln>
                  </pic:spPr>
                </pic:pic>
              </a:graphicData>
            </a:graphic>
          </wp:inline>
        </w:drawing>
      </w:r>
      <w:bookmarkStart w:id="0" w:name="_GoBack"/>
      <w:bookmarkEnd w:id="0"/>
    </w:p>
    <w:sectPr w:rsidR="0081371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94E"/>
    <w:rsid w:val="000014C4"/>
    <w:rsid w:val="00005510"/>
    <w:rsid w:val="00011735"/>
    <w:rsid w:val="00011A33"/>
    <w:rsid w:val="00012D24"/>
    <w:rsid w:val="000138FB"/>
    <w:rsid w:val="00016752"/>
    <w:rsid w:val="00024205"/>
    <w:rsid w:val="00027ED1"/>
    <w:rsid w:val="00040A63"/>
    <w:rsid w:val="000751B0"/>
    <w:rsid w:val="00075E4D"/>
    <w:rsid w:val="00077A72"/>
    <w:rsid w:val="0008141A"/>
    <w:rsid w:val="00082F35"/>
    <w:rsid w:val="000860B7"/>
    <w:rsid w:val="00092CF9"/>
    <w:rsid w:val="00093C64"/>
    <w:rsid w:val="000A44DA"/>
    <w:rsid w:val="000B4CD5"/>
    <w:rsid w:val="000D303E"/>
    <w:rsid w:val="000D7475"/>
    <w:rsid w:val="000E4354"/>
    <w:rsid w:val="000F2F1A"/>
    <w:rsid w:val="000F76D5"/>
    <w:rsid w:val="00100192"/>
    <w:rsid w:val="0011371B"/>
    <w:rsid w:val="001256E0"/>
    <w:rsid w:val="00135624"/>
    <w:rsid w:val="0013600E"/>
    <w:rsid w:val="00150817"/>
    <w:rsid w:val="00176754"/>
    <w:rsid w:val="001913A4"/>
    <w:rsid w:val="001C01FA"/>
    <w:rsid w:val="001C3530"/>
    <w:rsid w:val="001C7104"/>
    <w:rsid w:val="00202719"/>
    <w:rsid w:val="002221B1"/>
    <w:rsid w:val="00224DA0"/>
    <w:rsid w:val="00247F22"/>
    <w:rsid w:val="002515D1"/>
    <w:rsid w:val="00266792"/>
    <w:rsid w:val="00280D5F"/>
    <w:rsid w:val="00283A33"/>
    <w:rsid w:val="002849BD"/>
    <w:rsid w:val="00284C74"/>
    <w:rsid w:val="00284ED0"/>
    <w:rsid w:val="00290A4D"/>
    <w:rsid w:val="002972C0"/>
    <w:rsid w:val="00297408"/>
    <w:rsid w:val="002A0AD8"/>
    <w:rsid w:val="002B0310"/>
    <w:rsid w:val="002B41B2"/>
    <w:rsid w:val="002D0353"/>
    <w:rsid w:val="002E66D3"/>
    <w:rsid w:val="002E7C9D"/>
    <w:rsid w:val="002F23CF"/>
    <w:rsid w:val="0030239D"/>
    <w:rsid w:val="003243C8"/>
    <w:rsid w:val="00326214"/>
    <w:rsid w:val="00330E4C"/>
    <w:rsid w:val="00334CF3"/>
    <w:rsid w:val="00336022"/>
    <w:rsid w:val="00344071"/>
    <w:rsid w:val="003442AB"/>
    <w:rsid w:val="00351A04"/>
    <w:rsid w:val="00354FC4"/>
    <w:rsid w:val="00357D99"/>
    <w:rsid w:val="00360CD7"/>
    <w:rsid w:val="003620C2"/>
    <w:rsid w:val="00383755"/>
    <w:rsid w:val="00384E52"/>
    <w:rsid w:val="003938B9"/>
    <w:rsid w:val="0039565F"/>
    <w:rsid w:val="003A290B"/>
    <w:rsid w:val="003A4331"/>
    <w:rsid w:val="003B257F"/>
    <w:rsid w:val="003B2665"/>
    <w:rsid w:val="003B551C"/>
    <w:rsid w:val="003D3141"/>
    <w:rsid w:val="003E17EF"/>
    <w:rsid w:val="003F4A7D"/>
    <w:rsid w:val="00411B3A"/>
    <w:rsid w:val="004215FF"/>
    <w:rsid w:val="004246E8"/>
    <w:rsid w:val="00426D54"/>
    <w:rsid w:val="00437BD5"/>
    <w:rsid w:val="00441BE1"/>
    <w:rsid w:val="004527A4"/>
    <w:rsid w:val="00456300"/>
    <w:rsid w:val="00475218"/>
    <w:rsid w:val="0048700C"/>
    <w:rsid w:val="00494AC5"/>
    <w:rsid w:val="004A56E7"/>
    <w:rsid w:val="004B286B"/>
    <w:rsid w:val="004B4C1D"/>
    <w:rsid w:val="004E284F"/>
    <w:rsid w:val="004F0C97"/>
    <w:rsid w:val="004F112B"/>
    <w:rsid w:val="00507E0B"/>
    <w:rsid w:val="00513B89"/>
    <w:rsid w:val="00526AE0"/>
    <w:rsid w:val="00526F72"/>
    <w:rsid w:val="005303EA"/>
    <w:rsid w:val="00540B8D"/>
    <w:rsid w:val="005562F0"/>
    <w:rsid w:val="005625B3"/>
    <w:rsid w:val="005669A6"/>
    <w:rsid w:val="00570747"/>
    <w:rsid w:val="00575926"/>
    <w:rsid w:val="0058436E"/>
    <w:rsid w:val="005955FD"/>
    <w:rsid w:val="005A3A25"/>
    <w:rsid w:val="005A3EA0"/>
    <w:rsid w:val="005B2DC2"/>
    <w:rsid w:val="005B369F"/>
    <w:rsid w:val="005C4E53"/>
    <w:rsid w:val="005D1CEE"/>
    <w:rsid w:val="005D3E5F"/>
    <w:rsid w:val="005E623F"/>
    <w:rsid w:val="005E73F1"/>
    <w:rsid w:val="005F0834"/>
    <w:rsid w:val="005F3D2E"/>
    <w:rsid w:val="00600A92"/>
    <w:rsid w:val="00610A03"/>
    <w:rsid w:val="00626BCA"/>
    <w:rsid w:val="00643204"/>
    <w:rsid w:val="00653DF9"/>
    <w:rsid w:val="0066078F"/>
    <w:rsid w:val="00660C1D"/>
    <w:rsid w:val="0066592C"/>
    <w:rsid w:val="00666449"/>
    <w:rsid w:val="00673333"/>
    <w:rsid w:val="00683D48"/>
    <w:rsid w:val="006C7040"/>
    <w:rsid w:val="006D2CBB"/>
    <w:rsid w:val="006D2D70"/>
    <w:rsid w:val="006D4354"/>
    <w:rsid w:val="006D765A"/>
    <w:rsid w:val="006E4F8A"/>
    <w:rsid w:val="006F0AD3"/>
    <w:rsid w:val="006F58A3"/>
    <w:rsid w:val="006F5F8F"/>
    <w:rsid w:val="007322F5"/>
    <w:rsid w:val="00736E05"/>
    <w:rsid w:val="0074302F"/>
    <w:rsid w:val="0075297F"/>
    <w:rsid w:val="007637CA"/>
    <w:rsid w:val="007662C9"/>
    <w:rsid w:val="00767AFE"/>
    <w:rsid w:val="00781971"/>
    <w:rsid w:val="0078405E"/>
    <w:rsid w:val="00786E3D"/>
    <w:rsid w:val="007A4051"/>
    <w:rsid w:val="007C24FF"/>
    <w:rsid w:val="007D0893"/>
    <w:rsid w:val="007D1D63"/>
    <w:rsid w:val="007D784D"/>
    <w:rsid w:val="007E00FD"/>
    <w:rsid w:val="007E1BB6"/>
    <w:rsid w:val="007E794C"/>
    <w:rsid w:val="007F3AEE"/>
    <w:rsid w:val="007F3D6F"/>
    <w:rsid w:val="00800C3D"/>
    <w:rsid w:val="008027E5"/>
    <w:rsid w:val="0080379D"/>
    <w:rsid w:val="00806AF5"/>
    <w:rsid w:val="00811E8C"/>
    <w:rsid w:val="0081371C"/>
    <w:rsid w:val="008205B2"/>
    <w:rsid w:val="0083233B"/>
    <w:rsid w:val="00847CE0"/>
    <w:rsid w:val="0085366D"/>
    <w:rsid w:val="00854854"/>
    <w:rsid w:val="008648C6"/>
    <w:rsid w:val="00883384"/>
    <w:rsid w:val="00884A76"/>
    <w:rsid w:val="00890BE1"/>
    <w:rsid w:val="00892E64"/>
    <w:rsid w:val="0089365A"/>
    <w:rsid w:val="008979E8"/>
    <w:rsid w:val="008A79B0"/>
    <w:rsid w:val="008B48DB"/>
    <w:rsid w:val="008C1C04"/>
    <w:rsid w:val="008C75FD"/>
    <w:rsid w:val="008C7962"/>
    <w:rsid w:val="008D49A7"/>
    <w:rsid w:val="008D4CDF"/>
    <w:rsid w:val="008E55B9"/>
    <w:rsid w:val="008F60D9"/>
    <w:rsid w:val="009061E3"/>
    <w:rsid w:val="009164F3"/>
    <w:rsid w:val="00935136"/>
    <w:rsid w:val="009466F9"/>
    <w:rsid w:val="00950B7F"/>
    <w:rsid w:val="00950D55"/>
    <w:rsid w:val="00963111"/>
    <w:rsid w:val="009676C8"/>
    <w:rsid w:val="00976309"/>
    <w:rsid w:val="00977DD2"/>
    <w:rsid w:val="00981229"/>
    <w:rsid w:val="009816E0"/>
    <w:rsid w:val="009859BA"/>
    <w:rsid w:val="00997663"/>
    <w:rsid w:val="009A09F8"/>
    <w:rsid w:val="009A59D7"/>
    <w:rsid w:val="009A62CA"/>
    <w:rsid w:val="009B0C60"/>
    <w:rsid w:val="009D06D6"/>
    <w:rsid w:val="009F0856"/>
    <w:rsid w:val="00A026FC"/>
    <w:rsid w:val="00A05FD3"/>
    <w:rsid w:val="00A22402"/>
    <w:rsid w:val="00A5231E"/>
    <w:rsid w:val="00A648F6"/>
    <w:rsid w:val="00A8025C"/>
    <w:rsid w:val="00A93792"/>
    <w:rsid w:val="00A958A7"/>
    <w:rsid w:val="00AA1CEB"/>
    <w:rsid w:val="00AA2FD9"/>
    <w:rsid w:val="00AC0C4A"/>
    <w:rsid w:val="00AC0FCA"/>
    <w:rsid w:val="00AC45E0"/>
    <w:rsid w:val="00AD2618"/>
    <w:rsid w:val="00AD7704"/>
    <w:rsid w:val="00AF0804"/>
    <w:rsid w:val="00B0199D"/>
    <w:rsid w:val="00B03BF5"/>
    <w:rsid w:val="00B2571B"/>
    <w:rsid w:val="00B30504"/>
    <w:rsid w:val="00B42BC1"/>
    <w:rsid w:val="00B44857"/>
    <w:rsid w:val="00B55B15"/>
    <w:rsid w:val="00B57441"/>
    <w:rsid w:val="00B73F6A"/>
    <w:rsid w:val="00B83F4F"/>
    <w:rsid w:val="00B9022D"/>
    <w:rsid w:val="00BA27C6"/>
    <w:rsid w:val="00BA591A"/>
    <w:rsid w:val="00BA5AA7"/>
    <w:rsid w:val="00BB159A"/>
    <w:rsid w:val="00BB506A"/>
    <w:rsid w:val="00BC4AB6"/>
    <w:rsid w:val="00BC5D59"/>
    <w:rsid w:val="00BD012F"/>
    <w:rsid w:val="00BD34F8"/>
    <w:rsid w:val="00BE2370"/>
    <w:rsid w:val="00BE649F"/>
    <w:rsid w:val="00C00017"/>
    <w:rsid w:val="00C05112"/>
    <w:rsid w:val="00C14EC6"/>
    <w:rsid w:val="00C2705E"/>
    <w:rsid w:val="00C42C3E"/>
    <w:rsid w:val="00C466C5"/>
    <w:rsid w:val="00C67ECF"/>
    <w:rsid w:val="00C80C28"/>
    <w:rsid w:val="00C828B2"/>
    <w:rsid w:val="00C829F7"/>
    <w:rsid w:val="00C86052"/>
    <w:rsid w:val="00CA680F"/>
    <w:rsid w:val="00CB75DB"/>
    <w:rsid w:val="00CC0365"/>
    <w:rsid w:val="00CC535C"/>
    <w:rsid w:val="00CD7160"/>
    <w:rsid w:val="00CD7AED"/>
    <w:rsid w:val="00CF0CCD"/>
    <w:rsid w:val="00D24654"/>
    <w:rsid w:val="00D33CF0"/>
    <w:rsid w:val="00D34469"/>
    <w:rsid w:val="00D514C3"/>
    <w:rsid w:val="00D52728"/>
    <w:rsid w:val="00D60195"/>
    <w:rsid w:val="00D65ED8"/>
    <w:rsid w:val="00D74CB2"/>
    <w:rsid w:val="00D86395"/>
    <w:rsid w:val="00D917B4"/>
    <w:rsid w:val="00D9535E"/>
    <w:rsid w:val="00D962A6"/>
    <w:rsid w:val="00DA3A57"/>
    <w:rsid w:val="00DB355C"/>
    <w:rsid w:val="00DC4006"/>
    <w:rsid w:val="00DC69E1"/>
    <w:rsid w:val="00DF658A"/>
    <w:rsid w:val="00E04664"/>
    <w:rsid w:val="00E11174"/>
    <w:rsid w:val="00E14BF0"/>
    <w:rsid w:val="00E20D64"/>
    <w:rsid w:val="00E3042D"/>
    <w:rsid w:val="00E34424"/>
    <w:rsid w:val="00E36250"/>
    <w:rsid w:val="00E460DD"/>
    <w:rsid w:val="00E5383F"/>
    <w:rsid w:val="00E6197A"/>
    <w:rsid w:val="00E73B4F"/>
    <w:rsid w:val="00E833F5"/>
    <w:rsid w:val="00E8695D"/>
    <w:rsid w:val="00EA094E"/>
    <w:rsid w:val="00EB7F28"/>
    <w:rsid w:val="00EF3EBC"/>
    <w:rsid w:val="00EF58BA"/>
    <w:rsid w:val="00EF694A"/>
    <w:rsid w:val="00EF74A3"/>
    <w:rsid w:val="00F21AF0"/>
    <w:rsid w:val="00F3312A"/>
    <w:rsid w:val="00F34BC1"/>
    <w:rsid w:val="00F51894"/>
    <w:rsid w:val="00F655CE"/>
    <w:rsid w:val="00F671C3"/>
    <w:rsid w:val="00F70E6C"/>
    <w:rsid w:val="00F71777"/>
    <w:rsid w:val="00F81A66"/>
    <w:rsid w:val="00F83439"/>
    <w:rsid w:val="00F83B3F"/>
    <w:rsid w:val="00F92FBF"/>
    <w:rsid w:val="00F9735A"/>
    <w:rsid w:val="00FA6162"/>
    <w:rsid w:val="00FB170C"/>
    <w:rsid w:val="00FB6DF7"/>
    <w:rsid w:val="00FC103E"/>
    <w:rsid w:val="00FC74C7"/>
    <w:rsid w:val="00FD29C7"/>
    <w:rsid w:val="00FF4F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31D5A"/>
  <w15:docId w15:val="{89B79775-822F-4C70-965F-1CE681362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963111"/>
    <w:pPr>
      <w:spacing w:before="100" w:beforeAutospacing="1" w:after="100" w:afterAutospacing="1" w:line="240" w:lineRule="auto"/>
    </w:pPr>
    <w:rPr>
      <w:rFonts w:ascii="Times New Roman" w:eastAsia="Times New Roman" w:hAnsi="Times New Roman" w:cs="Times New Roman"/>
      <w:sz w:val="24"/>
      <w:szCs w:val="24"/>
      <w:lang w:val="en-IN"/>
    </w:rPr>
  </w:style>
  <w:style w:type="table" w:styleId="TableGrid">
    <w:name w:val="Table Grid"/>
    <w:basedOn w:val="TableNormal"/>
    <w:uiPriority w:val="39"/>
    <w:rsid w:val="005707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351045">
      <w:bodyDiv w:val="1"/>
      <w:marLeft w:val="0"/>
      <w:marRight w:val="0"/>
      <w:marTop w:val="0"/>
      <w:marBottom w:val="0"/>
      <w:divBdr>
        <w:top w:val="none" w:sz="0" w:space="0" w:color="auto"/>
        <w:left w:val="none" w:sz="0" w:space="0" w:color="auto"/>
        <w:bottom w:val="none" w:sz="0" w:space="0" w:color="auto"/>
        <w:right w:val="none" w:sz="0" w:space="0" w:color="auto"/>
      </w:divBdr>
      <w:divsChild>
        <w:div w:id="1696886309">
          <w:marLeft w:val="0"/>
          <w:marRight w:val="0"/>
          <w:marTop w:val="0"/>
          <w:marBottom w:val="0"/>
          <w:divBdr>
            <w:top w:val="none" w:sz="0" w:space="0" w:color="auto"/>
            <w:left w:val="none" w:sz="0" w:space="0" w:color="auto"/>
            <w:bottom w:val="none" w:sz="0" w:space="0" w:color="auto"/>
            <w:right w:val="none" w:sz="0" w:space="0" w:color="auto"/>
          </w:divBdr>
          <w:divsChild>
            <w:div w:id="1230504142">
              <w:marLeft w:val="0"/>
              <w:marRight w:val="0"/>
              <w:marTop w:val="0"/>
              <w:marBottom w:val="0"/>
              <w:divBdr>
                <w:top w:val="none" w:sz="0" w:space="0" w:color="auto"/>
                <w:left w:val="none" w:sz="0" w:space="0" w:color="auto"/>
                <w:bottom w:val="none" w:sz="0" w:space="0" w:color="auto"/>
                <w:right w:val="none" w:sz="0" w:space="0" w:color="auto"/>
              </w:divBdr>
              <w:divsChild>
                <w:div w:id="26125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2468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8wJpKlwHw5Z88M/kQQ2/7rthoLA==">AMUW2mXnapO4ZJmrdsIK3ACAZcETPEzl57xwAtksLWr8c/PDFt5T9x7whGvqib4orQTK8m28ph4uRG72Jk7iITYLparZsv4KrCv72Zjq/w68OCtOVr89hnDkRXgGezCWsdJTn2iP5itieZqOHDyKK/88+pXpHq4UYn8iVlqwi7T0xcRDtqFm4MmcTS4iro+2+Jqst2gOadf7e01ad9l0V6AO8j5xS3+7J6yx6Tktm1biEJ8o9Gggnh4=</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852B13A-76D9-4E12-9D7F-387DFD49B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2205</Words>
  <Characters>12569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Neetu Singh</dc:creator>
  <cp:lastModifiedBy>Neetu Singh</cp:lastModifiedBy>
  <cp:revision>2</cp:revision>
  <dcterms:created xsi:type="dcterms:W3CDTF">2021-10-18T09:18:00Z</dcterms:created>
  <dcterms:modified xsi:type="dcterms:W3CDTF">2021-10-18T09:18:00Z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dbf7ea84-5731-3cdb-8049-a4c8beea524d</vt:lpwstr>
  </property>
  <property fmtid="{D5CDD505-2E9C-101B-9397-08002B2CF9AE}" pid="4" name="Mendeley Citation Style_1">
    <vt:lpwstr>http://www.zotero.org/styles/apa</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http://www.zotero.org/styles/emerald-harvard</vt:lpwstr>
  </property>
  <property fmtid="{D5CDD505-2E9C-101B-9397-08002B2CF9AE}" pid="16" name="Mendeley Recent Style Name 5_1">
    <vt:lpwstr>Emerald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http://www.zotero.org/styles/norsk-apa-manual</vt:lpwstr>
  </property>
  <property fmtid="{D5CDD505-2E9C-101B-9397-08002B2CF9AE}" pid="24" name="Mendeley Recent Style Name 9_1">
    <vt:lpwstr>Norsk APA-manual - APA 7th edition (author-date)</vt:lpwstr>
  </property>
</Properties>
</file>