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E164" w14:textId="437649A3" w:rsidR="00357D99" w:rsidRDefault="00357D99" w:rsidP="00EB7F28">
      <w:pPr>
        <w:spacing w:line="240" w:lineRule="auto"/>
        <w:rPr>
          <w:rFonts w:ascii="Times New Roman" w:eastAsia="Times New Roman" w:hAnsi="Times New Roman" w:cs="Times New Roman"/>
          <w:b/>
          <w:sz w:val="24"/>
          <w:szCs w:val="24"/>
        </w:rPr>
      </w:pPr>
    </w:p>
    <w:p w14:paraId="4847601F" w14:textId="250602C8" w:rsidR="00507E0B" w:rsidRDefault="00507E0B" w:rsidP="00507E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Retail popup stores</w:t>
      </w:r>
      <w:r w:rsidR="00950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analysis of characteristics</w:t>
      </w:r>
    </w:p>
    <w:p w14:paraId="72A57DA8" w14:textId="77777777" w:rsidR="00D514C3" w:rsidRDefault="00D514C3" w:rsidP="00507E0B">
      <w:pPr>
        <w:spacing w:line="240" w:lineRule="auto"/>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31"/>
        <w:gridCol w:w="1450"/>
        <w:gridCol w:w="1147"/>
        <w:gridCol w:w="1227"/>
        <w:gridCol w:w="1264"/>
        <w:gridCol w:w="3041"/>
      </w:tblGrid>
      <w:tr w:rsidR="004A56E7" w:rsidRPr="00AF0804" w14:paraId="247D10F2" w14:textId="77777777" w:rsidTr="00D514C3">
        <w:trPr>
          <w:trHeight w:val="413"/>
          <w:jc w:val="center"/>
        </w:trPr>
        <w:tc>
          <w:tcPr>
            <w:tcW w:w="1231" w:type="dxa"/>
            <w:tcBorders>
              <w:top w:val="single" w:sz="4" w:space="0" w:color="auto"/>
              <w:bottom w:val="single" w:sz="4" w:space="0" w:color="auto"/>
            </w:tcBorders>
          </w:tcPr>
          <w:p w14:paraId="1AE57D7B"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Author</w:t>
            </w:r>
          </w:p>
        </w:tc>
        <w:tc>
          <w:tcPr>
            <w:tcW w:w="1450" w:type="dxa"/>
            <w:tcBorders>
              <w:top w:val="single" w:sz="4" w:space="0" w:color="auto"/>
              <w:bottom w:val="single" w:sz="4" w:space="0" w:color="auto"/>
            </w:tcBorders>
          </w:tcPr>
          <w:p w14:paraId="710BA921"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Experiential Store</w:t>
            </w:r>
          </w:p>
        </w:tc>
        <w:tc>
          <w:tcPr>
            <w:tcW w:w="1147" w:type="dxa"/>
            <w:tcBorders>
              <w:top w:val="single" w:sz="4" w:space="0" w:color="auto"/>
              <w:bottom w:val="single" w:sz="4" w:space="0" w:color="auto"/>
            </w:tcBorders>
          </w:tcPr>
          <w:p w14:paraId="676441D5" w14:textId="149D5C19"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Hedonic</w:t>
            </w:r>
            <w:r w:rsidR="00D24654">
              <w:rPr>
                <w:rFonts w:ascii="Times New Roman" w:hAnsi="Times New Roman" w:cs="Times New Roman"/>
                <w:sz w:val="20"/>
                <w:szCs w:val="20"/>
              </w:rPr>
              <w:t xml:space="preserve"> Shopping</w:t>
            </w:r>
            <w:r w:rsidRPr="00AF0804">
              <w:rPr>
                <w:rFonts w:ascii="Times New Roman" w:hAnsi="Times New Roman" w:cs="Times New Roman"/>
                <w:sz w:val="20"/>
                <w:szCs w:val="20"/>
              </w:rPr>
              <w:t xml:space="preserve"> Value</w:t>
            </w:r>
          </w:p>
        </w:tc>
        <w:tc>
          <w:tcPr>
            <w:tcW w:w="1227" w:type="dxa"/>
            <w:tcBorders>
              <w:top w:val="single" w:sz="4" w:space="0" w:color="auto"/>
              <w:bottom w:val="single" w:sz="4" w:space="0" w:color="auto"/>
            </w:tcBorders>
          </w:tcPr>
          <w:p w14:paraId="0C3E897C"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Uniqueness Value</w:t>
            </w:r>
          </w:p>
        </w:tc>
        <w:tc>
          <w:tcPr>
            <w:tcW w:w="1264" w:type="dxa"/>
            <w:tcBorders>
              <w:top w:val="single" w:sz="4" w:space="0" w:color="auto"/>
              <w:bottom w:val="single" w:sz="4" w:space="0" w:color="auto"/>
            </w:tcBorders>
          </w:tcPr>
          <w:p w14:paraId="562D0C3F"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Store Atmosphere</w:t>
            </w:r>
          </w:p>
        </w:tc>
        <w:tc>
          <w:tcPr>
            <w:tcW w:w="3041" w:type="dxa"/>
            <w:tcBorders>
              <w:top w:val="single" w:sz="4" w:space="0" w:color="auto"/>
              <w:bottom w:val="single" w:sz="4" w:space="0" w:color="auto"/>
            </w:tcBorders>
          </w:tcPr>
          <w:p w14:paraId="193BC18E" w14:textId="7777777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Findings</w:t>
            </w:r>
          </w:p>
        </w:tc>
      </w:tr>
      <w:tr w:rsidR="004A56E7" w:rsidRPr="00AF0804" w14:paraId="3D1099C3" w14:textId="77777777" w:rsidTr="00D514C3">
        <w:trPr>
          <w:trHeight w:val="206"/>
          <w:jc w:val="center"/>
        </w:trPr>
        <w:tc>
          <w:tcPr>
            <w:tcW w:w="1231" w:type="dxa"/>
            <w:tcBorders>
              <w:top w:val="single" w:sz="4" w:space="0" w:color="auto"/>
            </w:tcBorders>
          </w:tcPr>
          <w:p w14:paraId="6CFFDBC5" w14:textId="77777777" w:rsidR="00507E0B" w:rsidRPr="00AF0804" w:rsidRDefault="00507E0B" w:rsidP="0089365A">
            <w:pPr>
              <w:rPr>
                <w:rFonts w:ascii="Times New Roman" w:hAnsi="Times New Roman" w:cs="Times New Roman"/>
                <w:sz w:val="20"/>
                <w:szCs w:val="20"/>
              </w:rPr>
            </w:pPr>
          </w:p>
        </w:tc>
        <w:tc>
          <w:tcPr>
            <w:tcW w:w="1450" w:type="dxa"/>
            <w:tcBorders>
              <w:top w:val="single" w:sz="4" w:space="0" w:color="auto"/>
            </w:tcBorders>
          </w:tcPr>
          <w:p w14:paraId="2E9EF5D3" w14:textId="77777777" w:rsidR="00507E0B" w:rsidRPr="00AF0804" w:rsidRDefault="00507E0B" w:rsidP="0089365A">
            <w:pPr>
              <w:rPr>
                <w:rFonts w:ascii="Times New Roman" w:hAnsi="Times New Roman" w:cs="Times New Roman"/>
                <w:sz w:val="20"/>
                <w:szCs w:val="20"/>
              </w:rPr>
            </w:pPr>
          </w:p>
        </w:tc>
        <w:tc>
          <w:tcPr>
            <w:tcW w:w="1147" w:type="dxa"/>
            <w:tcBorders>
              <w:top w:val="single" w:sz="4" w:space="0" w:color="auto"/>
            </w:tcBorders>
          </w:tcPr>
          <w:p w14:paraId="234970CD" w14:textId="77777777" w:rsidR="00507E0B" w:rsidRPr="00AF0804" w:rsidRDefault="00507E0B" w:rsidP="0089365A">
            <w:pPr>
              <w:rPr>
                <w:rFonts w:ascii="Times New Roman" w:hAnsi="Times New Roman" w:cs="Times New Roman"/>
                <w:sz w:val="20"/>
                <w:szCs w:val="20"/>
              </w:rPr>
            </w:pPr>
          </w:p>
        </w:tc>
        <w:tc>
          <w:tcPr>
            <w:tcW w:w="1227" w:type="dxa"/>
            <w:tcBorders>
              <w:top w:val="single" w:sz="4" w:space="0" w:color="auto"/>
            </w:tcBorders>
          </w:tcPr>
          <w:p w14:paraId="53793772" w14:textId="77777777" w:rsidR="00507E0B" w:rsidRPr="00AF0804" w:rsidRDefault="00507E0B" w:rsidP="0089365A">
            <w:pPr>
              <w:rPr>
                <w:rFonts w:ascii="Times New Roman" w:hAnsi="Times New Roman" w:cs="Times New Roman"/>
                <w:sz w:val="20"/>
                <w:szCs w:val="20"/>
              </w:rPr>
            </w:pPr>
          </w:p>
        </w:tc>
        <w:tc>
          <w:tcPr>
            <w:tcW w:w="1264" w:type="dxa"/>
            <w:tcBorders>
              <w:top w:val="single" w:sz="4" w:space="0" w:color="auto"/>
            </w:tcBorders>
          </w:tcPr>
          <w:p w14:paraId="6C50FB7C" w14:textId="77777777" w:rsidR="00507E0B" w:rsidRPr="00AF0804" w:rsidRDefault="00507E0B" w:rsidP="0089365A">
            <w:pPr>
              <w:rPr>
                <w:rFonts w:ascii="Times New Roman" w:hAnsi="Times New Roman" w:cs="Times New Roman"/>
                <w:sz w:val="20"/>
                <w:szCs w:val="20"/>
              </w:rPr>
            </w:pPr>
          </w:p>
        </w:tc>
        <w:tc>
          <w:tcPr>
            <w:tcW w:w="3041" w:type="dxa"/>
            <w:tcBorders>
              <w:top w:val="single" w:sz="4" w:space="0" w:color="auto"/>
            </w:tcBorders>
          </w:tcPr>
          <w:p w14:paraId="79CCB389" w14:textId="77777777" w:rsidR="00507E0B" w:rsidRPr="00AF0804" w:rsidRDefault="00507E0B" w:rsidP="004A56E7">
            <w:pPr>
              <w:rPr>
                <w:rFonts w:ascii="Times New Roman" w:hAnsi="Times New Roman" w:cs="Times New Roman"/>
                <w:sz w:val="20"/>
                <w:szCs w:val="20"/>
              </w:rPr>
            </w:pPr>
          </w:p>
        </w:tc>
      </w:tr>
      <w:tr w:rsidR="004A56E7" w:rsidRPr="00AF0804" w14:paraId="09D0C3EB" w14:textId="77777777" w:rsidTr="00D514C3">
        <w:trPr>
          <w:trHeight w:val="427"/>
          <w:jc w:val="center"/>
        </w:trPr>
        <w:tc>
          <w:tcPr>
            <w:tcW w:w="1231" w:type="dxa"/>
          </w:tcPr>
          <w:p w14:paraId="40E7A595"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fldChar w:fldCharType="begin" w:fldLock="1"/>
            </w:r>
            <w:r w:rsidRPr="00AF0804">
              <w:rPr>
                <w:rFonts w:ascii="Times New Roman" w:hAnsi="Times New Roman" w:cs="Times New Roman"/>
                <w:sz w:val="20"/>
                <w:szCs w:val="20"/>
              </w:rPr>
              <w:instrText>ADDIN CSL_CITATION {"citationItems":[{"id":"ITEM-1","itemData":{"DOI":"10.1086/425101","ISSN":"00935301","abstract":"Spectacular, themed environments have been theorized as places where play is limited and consumer agency is overpowered. In a multiperspectival ethnographic engagement with ESPN Zone Chicago, we find consumers resisting the rules, but only to a limited degree. Spectacular consumption possesses a do-it-yourself quality unrecognized in prior theory. Technology and screens are important to this form of play, which exhibits a transcendent character built of liminoid elements and consumer fantasy. Yet, even in ostensibly overpowering spectacular consumption environments, consumption still is negotiated dialectically; consumer and producer interests are embedded in one another in a process of \"interagency.\".","author":[{"dropping-particle":"V.","family":"Kozinets","given":"Robert","non-dropping-particle":"","parse-names":false,"suffix":""},{"dropping-particle":"","family":"Sherry","given":"John F.","non-dropping-particle":"","parse-names":false,"suffix":""},{"dropping-particle":"","family":"Storm","given":"Diana","non-dropping-particle":"","parse-names":false,"suffix":""},{"dropping-particle":"","family":"Duhachek","given":"Adam","non-dropping-particle":"","parse-names":false,"suffix":""},{"dropping-particle":"","family":"Nuttavuthisit","given":"Krittinee","non-dropping-particle":"","parse-names":false,"suffix":""},{"dropping-particle":"","family":"DeBerry-Spence","given":"Benét","non-dropping-particle":"","parse-names":false,"suffix":""}],"container-title":"Journal of Consumer Research","id":"ITEM-1","issued":{"date-parts":[["2004"]]},"title":"Ludic agency and retail spectacle","type":"article-journal"},"uris":["http://www.mendeley.com/documents/?uuid=6d2d17da-fbf0-428f-b849-062bad101b57"]}],"mendeley":{"formattedCitation":"(Kozinets et al., 2004)","plainTextFormattedCitation":"(Kozinets et al., 2004)","previouslyFormattedCitation":"(Kozinets et al., 2004)"},"properties":{"noteIndex":0},"schema":"https://github.com/citation-style-language/schema/raw/master/csl-citation.json"}</w:instrText>
            </w:r>
            <w:r w:rsidRPr="00AF0804">
              <w:rPr>
                <w:rFonts w:ascii="Times New Roman" w:hAnsi="Times New Roman" w:cs="Times New Roman"/>
                <w:sz w:val="20"/>
                <w:szCs w:val="20"/>
              </w:rPr>
              <w:fldChar w:fldCharType="separate"/>
            </w:r>
            <w:r w:rsidRPr="00AF0804">
              <w:rPr>
                <w:rFonts w:ascii="Times New Roman" w:hAnsi="Times New Roman" w:cs="Times New Roman"/>
                <w:noProof/>
                <w:sz w:val="20"/>
                <w:szCs w:val="20"/>
              </w:rPr>
              <w:t>(Kozinets et al., 2004)</w:t>
            </w:r>
            <w:r w:rsidRPr="00AF0804">
              <w:rPr>
                <w:rFonts w:ascii="Times New Roman" w:hAnsi="Times New Roman" w:cs="Times New Roman"/>
                <w:sz w:val="20"/>
                <w:szCs w:val="20"/>
              </w:rPr>
              <w:fldChar w:fldCharType="end"/>
            </w:r>
          </w:p>
        </w:tc>
        <w:tc>
          <w:tcPr>
            <w:tcW w:w="1450" w:type="dxa"/>
          </w:tcPr>
          <w:p w14:paraId="11C81382"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Themed flagship brand stores</w:t>
            </w:r>
          </w:p>
        </w:tc>
        <w:tc>
          <w:tcPr>
            <w:tcW w:w="1147" w:type="dxa"/>
          </w:tcPr>
          <w:p w14:paraId="43A1158D"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27" w:type="dxa"/>
          </w:tcPr>
          <w:p w14:paraId="15C4AC53"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64" w:type="dxa"/>
          </w:tcPr>
          <w:p w14:paraId="3513A76C"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4E0AA7B6" w14:textId="7777777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Spectacular themed  stores offering unique consumption experiences</w:t>
            </w:r>
          </w:p>
        </w:tc>
      </w:tr>
      <w:tr w:rsidR="004A56E7" w:rsidRPr="00AF0804" w14:paraId="3E70EFBB" w14:textId="77777777" w:rsidTr="00D514C3">
        <w:trPr>
          <w:trHeight w:val="427"/>
          <w:jc w:val="center"/>
        </w:trPr>
        <w:tc>
          <w:tcPr>
            <w:tcW w:w="1231" w:type="dxa"/>
          </w:tcPr>
          <w:p w14:paraId="28F8B6D6" w14:textId="77777777" w:rsidR="00507E0B" w:rsidRPr="00AF0804" w:rsidRDefault="00507E0B" w:rsidP="0089365A">
            <w:pPr>
              <w:jc w:val="center"/>
              <w:rPr>
                <w:rFonts w:ascii="Times New Roman" w:hAnsi="Times New Roman" w:cs="Times New Roman"/>
                <w:sz w:val="20"/>
                <w:szCs w:val="20"/>
              </w:rPr>
            </w:pPr>
          </w:p>
        </w:tc>
        <w:tc>
          <w:tcPr>
            <w:tcW w:w="1450" w:type="dxa"/>
          </w:tcPr>
          <w:p w14:paraId="688AE683" w14:textId="3569AE44" w:rsidR="00507E0B" w:rsidRPr="00AF0804" w:rsidRDefault="00507E0B" w:rsidP="0089365A">
            <w:pPr>
              <w:jc w:val="center"/>
              <w:rPr>
                <w:rFonts w:ascii="Times New Roman" w:hAnsi="Times New Roman" w:cs="Times New Roman"/>
                <w:sz w:val="20"/>
                <w:szCs w:val="20"/>
              </w:rPr>
            </w:pPr>
          </w:p>
        </w:tc>
        <w:tc>
          <w:tcPr>
            <w:tcW w:w="1147" w:type="dxa"/>
          </w:tcPr>
          <w:p w14:paraId="33BA2754" w14:textId="77777777" w:rsidR="00507E0B" w:rsidRPr="00AF0804" w:rsidRDefault="00507E0B" w:rsidP="0089365A">
            <w:pPr>
              <w:jc w:val="center"/>
              <w:rPr>
                <w:rFonts w:ascii="Times New Roman" w:hAnsi="Times New Roman" w:cs="Times New Roman"/>
                <w:sz w:val="20"/>
                <w:szCs w:val="20"/>
              </w:rPr>
            </w:pPr>
          </w:p>
        </w:tc>
        <w:tc>
          <w:tcPr>
            <w:tcW w:w="1227" w:type="dxa"/>
          </w:tcPr>
          <w:p w14:paraId="07837F09" w14:textId="77777777" w:rsidR="00507E0B" w:rsidRPr="00AF0804" w:rsidRDefault="00507E0B" w:rsidP="0089365A">
            <w:pPr>
              <w:jc w:val="center"/>
              <w:rPr>
                <w:rFonts w:ascii="Times New Roman" w:hAnsi="Times New Roman" w:cs="Times New Roman"/>
                <w:sz w:val="20"/>
                <w:szCs w:val="20"/>
              </w:rPr>
            </w:pPr>
          </w:p>
        </w:tc>
        <w:tc>
          <w:tcPr>
            <w:tcW w:w="1264" w:type="dxa"/>
          </w:tcPr>
          <w:p w14:paraId="5AAD349D" w14:textId="77777777" w:rsidR="00507E0B" w:rsidRPr="00AF0804" w:rsidRDefault="00507E0B" w:rsidP="0089365A">
            <w:pPr>
              <w:jc w:val="center"/>
              <w:rPr>
                <w:rFonts w:ascii="Times New Roman" w:hAnsi="Times New Roman" w:cs="Times New Roman"/>
                <w:sz w:val="20"/>
                <w:szCs w:val="20"/>
              </w:rPr>
            </w:pPr>
          </w:p>
        </w:tc>
        <w:tc>
          <w:tcPr>
            <w:tcW w:w="3041" w:type="dxa"/>
          </w:tcPr>
          <w:p w14:paraId="41C85BA7" w14:textId="77777777" w:rsidR="00507E0B" w:rsidRPr="00AF0804" w:rsidRDefault="00507E0B" w:rsidP="004A56E7">
            <w:pPr>
              <w:rPr>
                <w:rFonts w:ascii="Times New Roman" w:hAnsi="Times New Roman" w:cs="Times New Roman"/>
                <w:sz w:val="20"/>
                <w:szCs w:val="20"/>
              </w:rPr>
            </w:pPr>
          </w:p>
        </w:tc>
      </w:tr>
      <w:tr w:rsidR="004A56E7" w:rsidRPr="00AF0804" w14:paraId="474C057A" w14:textId="77777777" w:rsidTr="00D514C3">
        <w:trPr>
          <w:trHeight w:val="634"/>
          <w:jc w:val="center"/>
        </w:trPr>
        <w:tc>
          <w:tcPr>
            <w:tcW w:w="1231" w:type="dxa"/>
          </w:tcPr>
          <w:p w14:paraId="0DA9BF84"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fldChar w:fldCharType="begin" w:fldLock="1"/>
            </w:r>
            <w:r w:rsidRPr="00AF0804">
              <w:rPr>
                <w:rFonts w:ascii="Times New Roman" w:hAnsi="Times New Roman" w:cs="Times New Roman"/>
                <w:sz w:val="20"/>
                <w:szCs w:val="20"/>
              </w:rPr>
              <w:instrText>ADDIN CSL_CITATION {"citationItems":[{"id":"ITEM-1","itemData":{"DOI":"10.1108/09590551011020138","ISSN":"0959-0552","abstract":"Purpose: The purpose of this paper is to explore relationships between consumer innovativeness, market mavenism, shopping enjoyment, and beliefs, attitude, and patronage intentions toward pop-up retail. Design/methodology/approach: A survey technique using a national sample of consumers resulted in 869 usable responses. Structural equation modeling is used to test the hypothesized relationships among variables. Findings: Findings show that consumer innovativeness and shopping enjoyment influence beliefs about the importance of hedonic elements of pop-up retail (novelty/uniqueness factor) and attitude toward pop-up retail, which affects patronage intentions. Practical implications: Findings provide support for the effectiveness of pop-up retail, an experiential marketing strategy, at enhancing the appeal of a retail venue to consumers exhibiting higher tendencies in innovativeness and shopping. Originality/value: This paper provides an investigation of consumer psychographic characteristics and their effect on attitude and behavioral intentions towards a new experiential marketing format, pop-up retail. This paper demonstrates empirically how consumer innovativeness and shopping enjoyment, noted as growing tendencies among consumers, affect beliefs, attitude, and behavioral intentions towards pop-up retail. © Emerald Group Publishing Limited.","author":[{"dropping-particle":"","family":"Kim","given":"Hyejeong","non-dropping-particle":"","parse-names":false,"suffix":""},{"dropping-particle":"","family":"Fiore","given":"Ann Marie","non-dropping-particle":"","parse-names":false,"suffix":""},{"dropping-particle":"","family":"Niehm","given":"Linda S.","non-dropping-particle":"","parse-names":false,"suffix":""},{"dropping-particle":"","family":"Jeong","given":"Miyoung","non-dropping-particle":"","parse-names":false,"suffix":""}],"container-title":"International Journal of Retail &amp; Distribution Management","id":"ITEM-1","issue":"2","issued":{"date-parts":[["2010","2","16"]]},"page":"133-154","title":"Psychographic characteristics affecting behavioral intentions towards pop‐up retail","type":"article-journal","volume":"38"},"uris":["http://www.mendeley.com/documents/?uuid=ae5dcfee-24e6-4ad9-9565-8d8b8c54d394"]}],"mendeley":{"formattedCitation":"(H. Kim et al., 2010)","plainTextFormattedCitation":"(H. Kim et al., 2010)","previouslyFormattedCitation":"(H. Kim et al., 2010)"},"properties":{"noteIndex":0},"schema":"https://github.com/citation-style-language/schema/raw/master/csl-citation.json"}</w:instrText>
            </w:r>
            <w:r w:rsidRPr="00AF0804">
              <w:rPr>
                <w:rFonts w:ascii="Times New Roman" w:hAnsi="Times New Roman" w:cs="Times New Roman"/>
                <w:sz w:val="20"/>
                <w:szCs w:val="20"/>
              </w:rPr>
              <w:fldChar w:fldCharType="separate"/>
            </w:r>
            <w:r w:rsidRPr="00AF0804">
              <w:rPr>
                <w:rFonts w:ascii="Times New Roman" w:hAnsi="Times New Roman" w:cs="Times New Roman"/>
                <w:noProof/>
                <w:sz w:val="20"/>
                <w:szCs w:val="20"/>
              </w:rPr>
              <w:t>(H. Kim et al., 2010)</w:t>
            </w:r>
            <w:r w:rsidRPr="00AF0804">
              <w:rPr>
                <w:rFonts w:ascii="Times New Roman" w:hAnsi="Times New Roman" w:cs="Times New Roman"/>
                <w:sz w:val="20"/>
                <w:szCs w:val="20"/>
              </w:rPr>
              <w:fldChar w:fldCharType="end"/>
            </w:r>
          </w:p>
        </w:tc>
        <w:tc>
          <w:tcPr>
            <w:tcW w:w="1450" w:type="dxa"/>
          </w:tcPr>
          <w:p w14:paraId="4424D19E"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Popup retail stores</w:t>
            </w:r>
          </w:p>
        </w:tc>
        <w:tc>
          <w:tcPr>
            <w:tcW w:w="1147" w:type="dxa"/>
          </w:tcPr>
          <w:p w14:paraId="538A69BF"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27" w:type="dxa"/>
          </w:tcPr>
          <w:p w14:paraId="0007ABF1"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64" w:type="dxa"/>
          </w:tcPr>
          <w:p w14:paraId="415BF113"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7F3C4C67" w14:textId="7777777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Popup stores offer excitement, exclusivity, surprise, and engaging experiences.</w:t>
            </w:r>
          </w:p>
        </w:tc>
      </w:tr>
      <w:tr w:rsidR="004A56E7" w:rsidRPr="00AF0804" w14:paraId="61556EC7" w14:textId="77777777" w:rsidTr="00D514C3">
        <w:trPr>
          <w:trHeight w:val="1268"/>
          <w:jc w:val="center"/>
        </w:trPr>
        <w:tc>
          <w:tcPr>
            <w:tcW w:w="1231" w:type="dxa"/>
          </w:tcPr>
          <w:p w14:paraId="4A7AEF1D"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fldChar w:fldCharType="begin" w:fldLock="1"/>
            </w:r>
            <w:r w:rsidRPr="00AF0804">
              <w:rPr>
                <w:rFonts w:ascii="Times New Roman" w:hAnsi="Times New Roman" w:cs="Times New Roman"/>
                <w:sz w:val="20"/>
                <w:szCs w:val="20"/>
              </w:rPr>
              <w:instrText>ADDIN CSL_CITATION {"citationItems":[{"id":"ITEM-1","itemData":{"DOI":"10.1016/j.jretai.2013.06.003","ISSN":"00224359","abstract":"How can flagships and brand stores contribute to building brands? We inquire about the relationships between store image, brand experience, brand attitude, brand attachment and brand equity using store intercepts. We find that flagships, due to the powerful brand experiences they allow, have a stronger impact on brand attitude, brand attachment and brand equity compared to brand stores. We provide retail marketers with avenues to offer increased in-store brand experiences by appealing to consumers' emotions, senses, behaviors, and cognition. © 2013 New York University.","author":[{"dropping-particle":"","family":"Dolbec","given":"Pierre Yann","non-dropping-particle":"","parse-names":false,"suffix":""},{"dropping-particle":"","family":"Chebat","given":"Jean Charles","non-dropping-particle":"","parse-names":false,"suffix":""}],"container-title":"Journal of Retailing","id":"ITEM-1","issue":"4","issued":{"date-parts":[["2013"]]},"page":"460-466","title":"The Impact of a Flagship vs. a Brand Store on Brand Attitude, Brand Attachment and Brand Equity","type":"article-journal","volume":"89"},"uris":["http://www.mendeley.com/documents/?uuid=5adcd128-cdac-4c5b-a77d-63138e539dc0"]}],"mendeley":{"formattedCitation":"(Dolbec &amp; Chebat, 2013)","plainTextFormattedCitation":"(Dolbec &amp; Chebat, 2013)","previouslyFormattedCitation":"(Dolbec &amp; Chebat, 2013)"},"properties":{"noteIndex":0},"schema":"https://github.com/citation-style-language/schema/raw/master/csl-citation.json"}</w:instrText>
            </w:r>
            <w:r w:rsidRPr="00AF0804">
              <w:rPr>
                <w:rFonts w:ascii="Times New Roman" w:hAnsi="Times New Roman" w:cs="Times New Roman"/>
                <w:sz w:val="20"/>
                <w:szCs w:val="20"/>
              </w:rPr>
              <w:fldChar w:fldCharType="separate"/>
            </w:r>
            <w:r w:rsidRPr="00AF0804">
              <w:rPr>
                <w:rFonts w:ascii="Times New Roman" w:hAnsi="Times New Roman" w:cs="Times New Roman"/>
                <w:noProof/>
                <w:sz w:val="20"/>
                <w:szCs w:val="20"/>
              </w:rPr>
              <w:t>(Dolbec &amp; Chebat, 2013)</w:t>
            </w:r>
            <w:r w:rsidRPr="00AF0804">
              <w:rPr>
                <w:rFonts w:ascii="Times New Roman" w:hAnsi="Times New Roman" w:cs="Times New Roman"/>
                <w:sz w:val="20"/>
                <w:szCs w:val="20"/>
              </w:rPr>
              <w:fldChar w:fldCharType="end"/>
            </w:r>
          </w:p>
        </w:tc>
        <w:tc>
          <w:tcPr>
            <w:tcW w:w="1450" w:type="dxa"/>
          </w:tcPr>
          <w:p w14:paraId="6934048C"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Flagships vs  Brand stores</w:t>
            </w:r>
          </w:p>
        </w:tc>
        <w:tc>
          <w:tcPr>
            <w:tcW w:w="1147" w:type="dxa"/>
          </w:tcPr>
          <w:p w14:paraId="0B9F66F9" w14:textId="77777777" w:rsidR="00507E0B" w:rsidRPr="00AF0804" w:rsidRDefault="00507E0B" w:rsidP="0089365A">
            <w:pPr>
              <w:jc w:val="center"/>
              <w:rPr>
                <w:rFonts w:ascii="Times New Roman" w:hAnsi="Times New Roman" w:cs="Times New Roman"/>
                <w:sz w:val="20"/>
                <w:szCs w:val="20"/>
              </w:rPr>
            </w:pPr>
          </w:p>
        </w:tc>
        <w:tc>
          <w:tcPr>
            <w:tcW w:w="1227" w:type="dxa"/>
          </w:tcPr>
          <w:p w14:paraId="7D3E1873" w14:textId="77777777" w:rsidR="00507E0B" w:rsidRPr="00AF0804" w:rsidRDefault="00507E0B" w:rsidP="0089365A">
            <w:pPr>
              <w:jc w:val="center"/>
              <w:rPr>
                <w:rFonts w:ascii="Times New Roman" w:hAnsi="Times New Roman" w:cs="Times New Roman"/>
                <w:sz w:val="20"/>
                <w:szCs w:val="20"/>
              </w:rPr>
            </w:pPr>
          </w:p>
        </w:tc>
        <w:tc>
          <w:tcPr>
            <w:tcW w:w="1264" w:type="dxa"/>
          </w:tcPr>
          <w:p w14:paraId="523CE43E"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050D1118" w14:textId="0370516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Store atmosphere is instrumental in creating an appropriate brand experience for the consumers with flagship stores providing more “anchoring points” as compared to brand stores.</w:t>
            </w:r>
          </w:p>
        </w:tc>
      </w:tr>
      <w:tr w:rsidR="004A56E7" w:rsidRPr="00AF0804" w14:paraId="0FD6A833" w14:textId="77777777" w:rsidTr="00D514C3">
        <w:trPr>
          <w:trHeight w:val="634"/>
          <w:jc w:val="center"/>
        </w:trPr>
        <w:tc>
          <w:tcPr>
            <w:tcW w:w="1231" w:type="dxa"/>
          </w:tcPr>
          <w:p w14:paraId="2587B6D0"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{"citationItems":[{"id":"ITEM-1","itemData":{"DOI":"10.15771/0949-8214_2016_1_12","ISSN":"0949-8214","abstract":"Die Lokalisierung in Innenräumen, die sich nicht auf Satellitennavigation wie GPS verlassen kann, ist nach wie vor eine Herausforderung. Viele Methoden zur Lokalisierung in Innenräumen beruhen auf Funksignalen oder anderen Sendern (z.B. Infrarot), die eine kostenintensive Infrastruktur erfordern, die in einem Gebäude installiert werden muss. Außerdem sind diese Techniken ungenau, wenn Reflexionen der Signale in einem Gebäude auftreten. Die Forschungsgruppe Telematik der TH Wildau hat für diese Problemstellung ein optisches Verfahren zur Innenraumlokalisierung entwickelt, das die Kamera eines mobilen Geräts verwendet. Dieser Ansatz erfordert nur die Verfügbarkeit von mehreren identifizierbaren Landmarken, die kostengünstig in einem Gebäude installiert werden können. In diesem Beitrag soll eine Möglichkeit vorgestellt werden, dieses landmarkenbasierte Verfahren mit der Augmented Reality-Bibliothek ARCore von Google zu erweitern, um eine kontinuierliche Positionsermittlung zu ermöglichen, auch wenn vorübergehend keine Landmarken durch die Gerätekamera erfasst ­werden können.","author":[{"dropping-particle":"","family":"Haas","given":"Sandra","non-dropping-particle":"","parse-names":false,"suffix":""},{"dropping-particle":"","family":"Schmidt","given":"Lisa","non-dropping-particle":"","parse-names":false,"suffix":""}],"container-title":"Wissenschaftliche Beiträge / Technische Hochschule Wildau","id":"ITEM-1","issue":"April","issued":{"date-parts":[["2016","3","21"]]},"page":"89-95","title":"What Drives the Success of Pop-Up Stores?","type":"article-journal","volume":"20"},"uris":["http://www.mendeley.com/documents/?uuid=a4d450f7-d6b1-4a48-870c-78b4fee75c75"]}],"mendeley":{"formattedCitation":"(Haas &amp; Schmidt, 2016)","plainTextFormattedCitation":"(Haas &amp; Schmidt, 2016)","previouslyFormattedCitation":"(Haas &amp; Schmidt, 2016)"},"properties":{"noteIndex":0},"schema":"https://github.com/citation-style-language/schema/raw/master/csl-citation.json"}</w:instrText>
            </w:r>
            <w:r w:rsidRPr="00AF0804">
              <w:rPr>
                <w:rFonts w:ascii="Times New Roman" w:hAnsi="Times New Roman" w:cs="Times New Roman"/>
                <w:sz w:val="20"/>
                <w:szCs w:val="20"/>
              </w:rPr>
              <w:fldChar w:fldCharType="separate"/>
            </w:r>
            <w:r w:rsidRPr="00AF0804">
              <w:rPr>
                <w:rFonts w:ascii="Times New Roman" w:hAnsi="Times New Roman" w:cs="Times New Roman"/>
                <w:noProof/>
                <w:sz w:val="20"/>
                <w:szCs w:val="20"/>
              </w:rPr>
              <w:t>(Haas &amp; Schmidt, 2016)</w:t>
            </w:r>
            <w:r w:rsidRPr="00AF0804">
              <w:rPr>
                <w:rFonts w:ascii="Times New Roman" w:hAnsi="Times New Roman" w:cs="Times New Roman"/>
                <w:sz w:val="20"/>
                <w:szCs w:val="20"/>
              </w:rPr>
              <w:fldChar w:fldCharType="end"/>
            </w:r>
          </w:p>
        </w:tc>
        <w:tc>
          <w:tcPr>
            <w:tcW w:w="1450" w:type="dxa"/>
          </w:tcPr>
          <w:p w14:paraId="627D2054" w14:textId="77777777" w:rsidR="00507E0B" w:rsidRPr="00AF0804" w:rsidRDefault="00507E0B" w:rsidP="0089365A">
            <w:pPr>
              <w:jc w:val="center"/>
              <w:rPr>
                <w:rFonts w:ascii="Times New Roman" w:hAnsi="Times New Roman" w:cs="Times New Roman"/>
                <w:sz w:val="20"/>
                <w:szCs w:val="20"/>
              </w:rPr>
            </w:pPr>
            <w:r>
              <w:rPr>
                <w:rFonts w:ascii="Times New Roman" w:hAnsi="Times New Roman" w:cs="Times New Roman"/>
                <w:sz w:val="20"/>
                <w:szCs w:val="20"/>
              </w:rPr>
              <w:t>Popup R</w:t>
            </w:r>
            <w:r w:rsidRPr="00AF0804">
              <w:rPr>
                <w:rFonts w:ascii="Times New Roman" w:hAnsi="Times New Roman" w:cs="Times New Roman"/>
                <w:sz w:val="20"/>
                <w:szCs w:val="20"/>
              </w:rPr>
              <w:t>etail stores</w:t>
            </w:r>
          </w:p>
        </w:tc>
        <w:tc>
          <w:tcPr>
            <w:tcW w:w="1147" w:type="dxa"/>
          </w:tcPr>
          <w:p w14:paraId="754E1D64"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27" w:type="dxa"/>
          </w:tcPr>
          <w:p w14:paraId="50CA6E3A"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64" w:type="dxa"/>
          </w:tcPr>
          <w:p w14:paraId="00F38C4D"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1A5A28A9" w14:textId="7777777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Popup stores create unique customer experiences by converting stores into art galleries.</w:t>
            </w:r>
          </w:p>
        </w:tc>
      </w:tr>
      <w:tr w:rsidR="004A56E7" w:rsidRPr="00AF0804" w14:paraId="5C5B13FE" w14:textId="77777777" w:rsidTr="00D514C3">
        <w:trPr>
          <w:trHeight w:val="841"/>
          <w:jc w:val="center"/>
        </w:trPr>
        <w:tc>
          <w:tcPr>
            <w:tcW w:w="1231" w:type="dxa"/>
          </w:tcPr>
          <w:p w14:paraId="38FF7279"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fldChar w:fldCharType="begin" w:fldLock="1"/>
            </w:r>
            <w:r w:rsidRPr="00AF0804">
              <w:rPr>
                <w:rFonts w:ascii="Times New Roman" w:hAnsi="Times New Roman" w:cs="Times New Roman"/>
                <w:sz w:val="20"/>
                <w:szCs w:val="20"/>
              </w:rPr>
              <w:instrText>ADDIN CSL_CITATION {"citationItems":[{"id":"ITEM-1","itemData":{"DOI":"10.1108/JFMM-05-2017-0042","ISSN":"13612026","abstract":"Purpose: The purpose of this paper is to further theorize the concept of the “sustainable temporary store” and explore benefits and challenges for slow fashion retailers using temporary stores to promote a new value proposition and develop a business model. Design/methodology/approach: The theoretical part combines the findings from marketing and human geography literature to theorize pop-up retailing from the slow fashion SME perspective. The empirical part uses a critical case study and a qualitative method approach (primary sources, half standardized interviews, ethnographic observation). Findings: The study provides theoretical insights into five success criteria for the “sustainable temporary store” across geographies. Empirical findings allow for further conclusions about challenges in regards to spatial requirements and business modeling for slow fashion retail entrepreneurs in the Netherlands. Research limitations/implications: Limitations of the study are the geographical scope of exiting literature on the global north and the restricted sample size. However, by selecting a critical case, careful geographically restricted generalizations can be made. Practical implications: The study provides useful information for slow fashion entrepreneurs who want to use cheap temporary space to develop their retail business model. Social implications: The results show that there is placemaking value (social value creation) in temporary slow fashion retailing. Originality/value: The study provides a relevant contribution to the theory of pop-up retailing and more precisely to the concept of the “sustainable temporary store.” It also delivers a replicable empirical research design for other geographies.","author":[{"dropping-particle":"","family":"Overdiek","given":"Anja","non-dropping-particle":"","parse-names":false,"suffix":""}],"container-title":"Journal of Fashion Marketing and Management","id":"ITEM-1","issued":{"date-parts":[["2018"]]},"title":"Opportunities for slow fashion retail in temporary stores","type":"article-journal"},"uris":["http://www.mendeley.com/documents/?uuid=080cfdde-b679-4348-ac63-09e58c3e363a"]}],"mendeley":{"formattedCitation":"(Overdiek, 2018)","plainTextFormattedCitation":"(Overdiek, 2018)","previouslyFormattedCitation":"(Overdiek, 2018)"},"properties":{"noteIndex":0},"schema":"https://github.com/citation-style-language/schema/raw/master/csl-citation.json"}</w:instrText>
            </w:r>
            <w:r w:rsidRPr="00AF0804">
              <w:rPr>
                <w:rFonts w:ascii="Times New Roman" w:hAnsi="Times New Roman" w:cs="Times New Roman"/>
                <w:sz w:val="20"/>
                <w:szCs w:val="20"/>
              </w:rPr>
              <w:fldChar w:fldCharType="separate"/>
            </w:r>
            <w:r w:rsidRPr="00AF0804">
              <w:rPr>
                <w:rFonts w:ascii="Times New Roman" w:hAnsi="Times New Roman" w:cs="Times New Roman"/>
                <w:noProof/>
                <w:sz w:val="20"/>
                <w:szCs w:val="20"/>
              </w:rPr>
              <w:t>(Overdiek, 2018)</w:t>
            </w:r>
            <w:r w:rsidRPr="00AF0804">
              <w:rPr>
                <w:rFonts w:ascii="Times New Roman" w:hAnsi="Times New Roman" w:cs="Times New Roman"/>
                <w:sz w:val="20"/>
                <w:szCs w:val="20"/>
              </w:rPr>
              <w:fldChar w:fldCharType="end"/>
            </w:r>
          </w:p>
        </w:tc>
        <w:tc>
          <w:tcPr>
            <w:tcW w:w="1450" w:type="dxa"/>
          </w:tcPr>
          <w:p w14:paraId="3AD76828" w14:textId="77777777" w:rsidR="00507E0B" w:rsidRPr="00AF0804" w:rsidRDefault="00507E0B" w:rsidP="0089365A">
            <w:pPr>
              <w:jc w:val="center"/>
              <w:rPr>
                <w:rFonts w:ascii="Times New Roman" w:hAnsi="Times New Roman" w:cs="Times New Roman"/>
                <w:sz w:val="20"/>
                <w:szCs w:val="20"/>
              </w:rPr>
            </w:pPr>
            <w:r>
              <w:rPr>
                <w:rFonts w:ascii="Times New Roman" w:hAnsi="Times New Roman" w:cs="Times New Roman"/>
                <w:sz w:val="20"/>
                <w:szCs w:val="20"/>
              </w:rPr>
              <w:t>Temporary Slow F</w:t>
            </w:r>
            <w:r w:rsidRPr="00AF0804">
              <w:rPr>
                <w:rFonts w:ascii="Times New Roman" w:hAnsi="Times New Roman" w:cs="Times New Roman"/>
                <w:sz w:val="20"/>
                <w:szCs w:val="20"/>
              </w:rPr>
              <w:t>ashion retail stores</w:t>
            </w:r>
          </w:p>
        </w:tc>
        <w:tc>
          <w:tcPr>
            <w:tcW w:w="1147" w:type="dxa"/>
          </w:tcPr>
          <w:p w14:paraId="74C3A0BE"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27" w:type="dxa"/>
          </w:tcPr>
          <w:p w14:paraId="0FFA8D8A"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64" w:type="dxa"/>
          </w:tcPr>
          <w:p w14:paraId="1A14ABFF"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26170658" w14:textId="77777777" w:rsidR="00507E0B" w:rsidRPr="00AF0804" w:rsidRDefault="00507E0B" w:rsidP="004A56E7">
            <w:pPr>
              <w:rPr>
                <w:rFonts w:ascii="Times New Roman" w:hAnsi="Times New Roman" w:cs="Times New Roman"/>
                <w:sz w:val="20"/>
                <w:szCs w:val="20"/>
              </w:rPr>
            </w:pPr>
            <w:r w:rsidRPr="00AF0804">
              <w:rPr>
                <w:rFonts w:ascii="Times New Roman" w:hAnsi="Times New Roman" w:cs="Times New Roman"/>
                <w:sz w:val="20"/>
                <w:szCs w:val="20"/>
              </w:rPr>
              <w:t>Slow fashion temporary stores offering an immersive store environment which is unique, exciting and sustainable</w:t>
            </w:r>
          </w:p>
        </w:tc>
      </w:tr>
      <w:tr w:rsidR="004A56E7" w:rsidRPr="00AF0804" w14:paraId="6FBECB70" w14:textId="77777777" w:rsidTr="00D514C3">
        <w:trPr>
          <w:trHeight w:val="1061"/>
          <w:jc w:val="center"/>
        </w:trPr>
        <w:tc>
          <w:tcPr>
            <w:tcW w:w="1231" w:type="dxa"/>
          </w:tcPr>
          <w:p w14:paraId="2D1ACFB1" w14:textId="77777777" w:rsidR="00507E0B" w:rsidRPr="00AF0804" w:rsidRDefault="00507E0B" w:rsidP="0089365A">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Yu","given":"Hong","non-dropping-particle":"","parse-names":false,"suffix":""},{"dropping-particle":"","family":"Sedlezky","given":"Sean","non-dropping-particle":"","parse-names":false,"suffix":""},{"dropping-particle":"","family":"Wong","given":"Ken","non-dropping-particle":"","parse-names":false,"suffix":""},{"dropping-particle":"","family":"Hernandez","given":"Tony","non-dropping-particle":"","parse-names":false,"suffix":""},{"dropping-particle":"","family":"Larsen","given":"Pauline","non-dropping-particle":"","parse-names":false,"suffix":""},{"dropping-particle":"","family":"Stephenson","given":"Gay","non-dropping-particle":"","parse-names":false,"suffix":""}],"edition":"1","id":"ITEM-1","issued":{"date-parts":[["2018"]]},"number-of-pages":"246","publisher":"Ryerson University","publisher-place":"Toronto","title":"Pop-up Retail Strategies in an Omnichannel Context","type":"book"},"uris":["http://www.mendeley.com/documents/?uuid=816d06da-53aa-3739-8946-673030311422"]}],"mendeley":{"formattedCitation":"(Yu et al., 2018)","plainTextFormattedCitation":"(Yu et al., 2018)","previouslyFormattedCitation":"(Yu et al., 2018)"},"properties":{"noteIndex":0},"schema":"https://github.com/citation-style-language/schema/raw/master/csl-citation.json"}</w:instrText>
            </w:r>
            <w:r>
              <w:rPr>
                <w:rFonts w:ascii="Times New Roman" w:hAnsi="Times New Roman" w:cs="Times New Roman"/>
                <w:sz w:val="20"/>
                <w:szCs w:val="20"/>
              </w:rPr>
              <w:fldChar w:fldCharType="separate"/>
            </w:r>
            <w:r w:rsidRPr="00092CF9">
              <w:rPr>
                <w:rFonts w:ascii="Times New Roman" w:hAnsi="Times New Roman" w:cs="Times New Roman"/>
                <w:noProof/>
                <w:sz w:val="20"/>
                <w:szCs w:val="20"/>
              </w:rPr>
              <w:t>(Yu et al., 2018)</w:t>
            </w:r>
            <w:r>
              <w:rPr>
                <w:rFonts w:ascii="Times New Roman" w:hAnsi="Times New Roman" w:cs="Times New Roman"/>
                <w:sz w:val="20"/>
                <w:szCs w:val="20"/>
              </w:rPr>
              <w:fldChar w:fldCharType="end"/>
            </w:r>
          </w:p>
        </w:tc>
        <w:tc>
          <w:tcPr>
            <w:tcW w:w="1450" w:type="dxa"/>
          </w:tcPr>
          <w:p w14:paraId="789E79A9" w14:textId="77777777" w:rsidR="00507E0B" w:rsidRDefault="00507E0B" w:rsidP="0089365A">
            <w:pPr>
              <w:jc w:val="center"/>
              <w:rPr>
                <w:rFonts w:ascii="Times New Roman" w:hAnsi="Times New Roman" w:cs="Times New Roman"/>
                <w:sz w:val="20"/>
                <w:szCs w:val="20"/>
              </w:rPr>
            </w:pPr>
            <w:r>
              <w:rPr>
                <w:rFonts w:ascii="Times New Roman" w:hAnsi="Times New Roman" w:cs="Times New Roman"/>
                <w:sz w:val="20"/>
                <w:szCs w:val="20"/>
              </w:rPr>
              <w:t>Popups in Omni Chanel Retail</w:t>
            </w:r>
          </w:p>
        </w:tc>
        <w:tc>
          <w:tcPr>
            <w:tcW w:w="1147" w:type="dxa"/>
          </w:tcPr>
          <w:p w14:paraId="72AE49B8"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27" w:type="dxa"/>
          </w:tcPr>
          <w:p w14:paraId="234F0577"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1264" w:type="dxa"/>
          </w:tcPr>
          <w:p w14:paraId="2991762E" w14:textId="77777777" w:rsidR="00507E0B" w:rsidRPr="00AF0804" w:rsidRDefault="00507E0B" w:rsidP="0089365A">
            <w:pPr>
              <w:jc w:val="center"/>
              <w:rPr>
                <w:rFonts w:ascii="Times New Roman" w:hAnsi="Times New Roman" w:cs="Times New Roman"/>
                <w:sz w:val="20"/>
                <w:szCs w:val="20"/>
              </w:rPr>
            </w:pPr>
            <w:r w:rsidRPr="00AF0804">
              <w:rPr>
                <w:rFonts w:ascii="Times New Roman" w:hAnsi="Times New Roman" w:cs="Times New Roman"/>
                <w:sz w:val="20"/>
                <w:szCs w:val="20"/>
              </w:rPr>
              <w:t>×</w:t>
            </w:r>
          </w:p>
        </w:tc>
        <w:tc>
          <w:tcPr>
            <w:tcW w:w="3041" w:type="dxa"/>
          </w:tcPr>
          <w:p w14:paraId="4C6F9548" w14:textId="77777777" w:rsidR="00507E0B" w:rsidRPr="00AF0804" w:rsidRDefault="00507E0B" w:rsidP="004A56E7">
            <w:pPr>
              <w:rPr>
                <w:rFonts w:ascii="Times New Roman" w:hAnsi="Times New Roman" w:cs="Times New Roman"/>
                <w:sz w:val="20"/>
                <w:szCs w:val="20"/>
              </w:rPr>
            </w:pPr>
            <w:r>
              <w:rPr>
                <w:rFonts w:ascii="Times New Roman" w:hAnsi="Times New Roman" w:cs="Times New Roman"/>
                <w:sz w:val="20"/>
                <w:szCs w:val="20"/>
              </w:rPr>
              <w:t>Consumers psychographic characteristics such as innovativeness, market mavenism and shopping enjoyment create the ultimate popup experience.</w:t>
            </w:r>
          </w:p>
        </w:tc>
      </w:tr>
      <w:tr w:rsidR="004A56E7" w:rsidRPr="00AF0804" w14:paraId="66042901" w14:textId="77777777" w:rsidTr="00D514C3">
        <w:trPr>
          <w:trHeight w:val="80"/>
          <w:jc w:val="center"/>
        </w:trPr>
        <w:tc>
          <w:tcPr>
            <w:tcW w:w="1231" w:type="dxa"/>
            <w:tcBorders>
              <w:bottom w:val="single" w:sz="4" w:space="0" w:color="auto"/>
            </w:tcBorders>
          </w:tcPr>
          <w:p w14:paraId="058F7131" w14:textId="77777777" w:rsidR="00507E0B" w:rsidRPr="00AF0804" w:rsidRDefault="00507E0B" w:rsidP="0089365A">
            <w:pPr>
              <w:rPr>
                <w:rFonts w:ascii="Times New Roman" w:hAnsi="Times New Roman" w:cs="Times New Roman"/>
                <w:sz w:val="20"/>
                <w:szCs w:val="20"/>
              </w:rPr>
            </w:pPr>
          </w:p>
        </w:tc>
        <w:tc>
          <w:tcPr>
            <w:tcW w:w="1450" w:type="dxa"/>
            <w:tcBorders>
              <w:bottom w:val="single" w:sz="4" w:space="0" w:color="auto"/>
            </w:tcBorders>
          </w:tcPr>
          <w:p w14:paraId="6AF60EAF" w14:textId="77777777" w:rsidR="00507E0B" w:rsidRPr="00AF0804" w:rsidRDefault="00507E0B" w:rsidP="0089365A">
            <w:pPr>
              <w:rPr>
                <w:rFonts w:ascii="Times New Roman" w:hAnsi="Times New Roman" w:cs="Times New Roman"/>
                <w:sz w:val="20"/>
                <w:szCs w:val="20"/>
              </w:rPr>
            </w:pPr>
          </w:p>
        </w:tc>
        <w:tc>
          <w:tcPr>
            <w:tcW w:w="1147" w:type="dxa"/>
            <w:tcBorders>
              <w:bottom w:val="single" w:sz="4" w:space="0" w:color="auto"/>
            </w:tcBorders>
          </w:tcPr>
          <w:p w14:paraId="7C9E3E04" w14:textId="77777777" w:rsidR="00507E0B" w:rsidRPr="00AF0804" w:rsidRDefault="00507E0B" w:rsidP="0089365A">
            <w:pPr>
              <w:rPr>
                <w:rFonts w:ascii="Times New Roman" w:hAnsi="Times New Roman" w:cs="Times New Roman"/>
                <w:sz w:val="20"/>
                <w:szCs w:val="20"/>
              </w:rPr>
            </w:pPr>
          </w:p>
        </w:tc>
        <w:tc>
          <w:tcPr>
            <w:tcW w:w="1227" w:type="dxa"/>
            <w:tcBorders>
              <w:bottom w:val="single" w:sz="4" w:space="0" w:color="auto"/>
            </w:tcBorders>
          </w:tcPr>
          <w:p w14:paraId="5DBE15C3" w14:textId="77777777" w:rsidR="00507E0B" w:rsidRPr="00AF0804" w:rsidRDefault="00507E0B" w:rsidP="0089365A">
            <w:pPr>
              <w:rPr>
                <w:rFonts w:ascii="Times New Roman" w:hAnsi="Times New Roman" w:cs="Times New Roman"/>
                <w:sz w:val="20"/>
                <w:szCs w:val="20"/>
              </w:rPr>
            </w:pPr>
          </w:p>
        </w:tc>
        <w:tc>
          <w:tcPr>
            <w:tcW w:w="1264" w:type="dxa"/>
            <w:tcBorders>
              <w:bottom w:val="single" w:sz="4" w:space="0" w:color="auto"/>
            </w:tcBorders>
          </w:tcPr>
          <w:p w14:paraId="6055D2D9" w14:textId="77777777" w:rsidR="00507E0B" w:rsidRPr="00AF0804" w:rsidRDefault="00507E0B" w:rsidP="0089365A">
            <w:pPr>
              <w:rPr>
                <w:rFonts w:ascii="Times New Roman" w:hAnsi="Times New Roman" w:cs="Times New Roman"/>
                <w:sz w:val="20"/>
                <w:szCs w:val="20"/>
              </w:rPr>
            </w:pPr>
          </w:p>
        </w:tc>
        <w:tc>
          <w:tcPr>
            <w:tcW w:w="3041" w:type="dxa"/>
            <w:tcBorders>
              <w:bottom w:val="single" w:sz="4" w:space="0" w:color="auto"/>
            </w:tcBorders>
          </w:tcPr>
          <w:p w14:paraId="5786B615" w14:textId="77777777" w:rsidR="00507E0B" w:rsidRPr="00AF0804" w:rsidRDefault="00507E0B" w:rsidP="004A56E7">
            <w:pPr>
              <w:rPr>
                <w:rFonts w:ascii="Times New Roman" w:hAnsi="Times New Roman" w:cs="Times New Roman"/>
                <w:sz w:val="20"/>
                <w:szCs w:val="20"/>
              </w:rPr>
            </w:pPr>
          </w:p>
        </w:tc>
      </w:tr>
    </w:tbl>
    <w:p w14:paraId="48A60259" w14:textId="77777777" w:rsidR="00507E0B" w:rsidRDefault="00507E0B" w:rsidP="00507E0B">
      <w:pPr>
        <w:spacing w:line="240" w:lineRule="auto"/>
        <w:rPr>
          <w:rFonts w:ascii="Times New Roman" w:eastAsia="Times New Roman" w:hAnsi="Times New Roman" w:cs="Times New Roman"/>
          <w:sz w:val="24"/>
          <w:szCs w:val="24"/>
        </w:rPr>
      </w:pPr>
    </w:p>
    <w:p w14:paraId="3CBD569E" w14:textId="77777777" w:rsidR="005669A6" w:rsidRDefault="005669A6" w:rsidP="00290A4D">
      <w:pPr>
        <w:spacing w:line="240" w:lineRule="auto"/>
        <w:rPr>
          <w:rFonts w:ascii="Times New Roman" w:eastAsia="Times New Roman" w:hAnsi="Times New Roman" w:cs="Times New Roman"/>
          <w:sz w:val="24"/>
          <w:szCs w:val="24"/>
        </w:rPr>
      </w:pPr>
    </w:p>
    <w:p w14:paraId="31711D01" w14:textId="442CD4C2" w:rsidR="00C2705E" w:rsidRDefault="003243C8" w:rsidP="00EB7F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r w:rsidR="00C2705E">
        <w:rPr>
          <w:rFonts w:ascii="Times New Roman" w:eastAsia="Times New Roman" w:hAnsi="Times New Roman" w:cs="Times New Roman"/>
          <w:sz w:val="24"/>
          <w:szCs w:val="24"/>
        </w:rPr>
        <w:t xml:space="preserve"> Confirmatory Factor Analysis for</w:t>
      </w:r>
      <w:r w:rsidR="00040A63" w:rsidRPr="00040A63">
        <w:t xml:space="preserve"> </w:t>
      </w:r>
      <w:r w:rsidR="00040A63" w:rsidRPr="00040A63">
        <w:rPr>
          <w:rFonts w:ascii="Times New Roman" w:eastAsia="Times New Roman" w:hAnsi="Times New Roman" w:cs="Times New Roman"/>
          <w:sz w:val="24"/>
          <w:szCs w:val="24"/>
        </w:rPr>
        <w:t xml:space="preserve">Fashion and Lifestyle </w:t>
      </w:r>
      <w:r w:rsidR="00040A63">
        <w:rPr>
          <w:rFonts w:ascii="Times New Roman" w:eastAsia="Times New Roman" w:hAnsi="Times New Roman" w:cs="Times New Roman"/>
          <w:sz w:val="24"/>
          <w:szCs w:val="24"/>
        </w:rPr>
        <w:t>Popup</w:t>
      </w:r>
      <w:r w:rsidR="00C2705E">
        <w:rPr>
          <w:rFonts w:ascii="Times New Roman" w:eastAsia="Times New Roman" w:hAnsi="Times New Roman" w:cs="Times New Roman"/>
          <w:sz w:val="24"/>
          <w:szCs w:val="24"/>
        </w:rPr>
        <w:t xml:space="preserve"> Store Values</w:t>
      </w:r>
    </w:p>
    <w:tbl>
      <w:tblPr>
        <w:tblStyle w:val="TableGrid"/>
        <w:tblW w:w="98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9"/>
        <w:gridCol w:w="4411"/>
        <w:gridCol w:w="1512"/>
        <w:gridCol w:w="1328"/>
      </w:tblGrid>
      <w:tr w:rsidR="0066592C" w:rsidRPr="00626BCA" w14:paraId="3F80C773" w14:textId="77777777" w:rsidTr="005562F0">
        <w:trPr>
          <w:trHeight w:val="307"/>
          <w:jc w:val="center"/>
        </w:trPr>
        <w:tc>
          <w:tcPr>
            <w:tcW w:w="2609" w:type="dxa"/>
            <w:tcBorders>
              <w:top w:val="single" w:sz="4" w:space="0" w:color="auto"/>
              <w:bottom w:val="single" w:sz="4" w:space="0" w:color="auto"/>
            </w:tcBorders>
            <w:vAlign w:val="center"/>
          </w:tcPr>
          <w:p w14:paraId="75043602"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Construct</w:t>
            </w:r>
          </w:p>
        </w:tc>
        <w:tc>
          <w:tcPr>
            <w:tcW w:w="4411" w:type="dxa"/>
            <w:tcBorders>
              <w:top w:val="single" w:sz="4" w:space="0" w:color="auto"/>
              <w:bottom w:val="single" w:sz="4" w:space="0" w:color="auto"/>
            </w:tcBorders>
            <w:vAlign w:val="center"/>
          </w:tcPr>
          <w:p w14:paraId="3D98EB74"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Items</w:t>
            </w:r>
          </w:p>
        </w:tc>
        <w:tc>
          <w:tcPr>
            <w:tcW w:w="1512" w:type="dxa"/>
            <w:tcBorders>
              <w:top w:val="single" w:sz="4" w:space="0" w:color="auto"/>
              <w:bottom w:val="single" w:sz="4" w:space="0" w:color="auto"/>
            </w:tcBorders>
            <w:vAlign w:val="center"/>
          </w:tcPr>
          <w:p w14:paraId="2E8D9D61"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Factor Loadings</w:t>
            </w:r>
          </w:p>
        </w:tc>
        <w:tc>
          <w:tcPr>
            <w:tcW w:w="1328" w:type="dxa"/>
            <w:tcBorders>
              <w:top w:val="single" w:sz="4" w:space="0" w:color="auto"/>
              <w:bottom w:val="single" w:sz="4" w:space="0" w:color="auto"/>
            </w:tcBorders>
            <w:vAlign w:val="center"/>
          </w:tcPr>
          <w:p w14:paraId="09DB5CB8"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Cronbach’s Alpha</w:t>
            </w:r>
          </w:p>
        </w:tc>
      </w:tr>
      <w:tr w:rsidR="0066592C" w:rsidRPr="00626BCA" w14:paraId="70D6F688" w14:textId="77777777" w:rsidTr="005562F0">
        <w:trPr>
          <w:trHeight w:hRule="exact" w:val="712"/>
          <w:jc w:val="center"/>
        </w:trPr>
        <w:tc>
          <w:tcPr>
            <w:tcW w:w="2609" w:type="dxa"/>
            <w:tcBorders>
              <w:top w:val="single" w:sz="4" w:space="0" w:color="auto"/>
            </w:tcBorders>
            <w:vAlign w:val="center"/>
          </w:tcPr>
          <w:p w14:paraId="4A7060FE"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 xml:space="preserve">Popup store Hedonic </w:t>
            </w:r>
            <w:r>
              <w:rPr>
                <w:rFonts w:ascii="Times New Roman" w:eastAsia="Times New Roman" w:hAnsi="Times New Roman" w:cs="Times New Roman"/>
                <w:sz w:val="24"/>
                <w:szCs w:val="24"/>
              </w:rPr>
              <w:t>s</w:t>
            </w:r>
            <w:r w:rsidRPr="00626BCA">
              <w:rPr>
                <w:rFonts w:ascii="Times New Roman" w:eastAsia="Times New Roman" w:hAnsi="Times New Roman" w:cs="Times New Roman"/>
                <w:sz w:val="24"/>
                <w:szCs w:val="24"/>
              </w:rPr>
              <w:t>hopping Value</w:t>
            </w:r>
          </w:p>
        </w:tc>
        <w:tc>
          <w:tcPr>
            <w:tcW w:w="4411" w:type="dxa"/>
            <w:tcBorders>
              <w:top w:val="single" w:sz="4" w:space="0" w:color="auto"/>
            </w:tcBorders>
            <w:vAlign w:val="center"/>
          </w:tcPr>
          <w:p w14:paraId="5445BE6C"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shopping is Fun</w:t>
            </w:r>
          </w:p>
        </w:tc>
        <w:tc>
          <w:tcPr>
            <w:tcW w:w="1512" w:type="dxa"/>
            <w:tcBorders>
              <w:top w:val="single" w:sz="4" w:space="0" w:color="auto"/>
            </w:tcBorders>
            <w:vAlign w:val="center"/>
          </w:tcPr>
          <w:p w14:paraId="12A72063"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w:t>
            </w:r>
          </w:p>
        </w:tc>
        <w:tc>
          <w:tcPr>
            <w:tcW w:w="1328" w:type="dxa"/>
            <w:tcBorders>
              <w:top w:val="single" w:sz="4" w:space="0" w:color="auto"/>
            </w:tcBorders>
            <w:vAlign w:val="center"/>
          </w:tcPr>
          <w:p w14:paraId="30921FB4"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r>
      <w:tr w:rsidR="0066592C" w:rsidRPr="00626BCA" w14:paraId="45AF18B3" w14:textId="77777777" w:rsidTr="005562F0">
        <w:trPr>
          <w:trHeight w:hRule="exact" w:val="513"/>
          <w:jc w:val="center"/>
        </w:trPr>
        <w:tc>
          <w:tcPr>
            <w:tcW w:w="2609" w:type="dxa"/>
            <w:vAlign w:val="center"/>
          </w:tcPr>
          <w:p w14:paraId="01BCBDD0"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vAlign w:val="center"/>
          </w:tcPr>
          <w:p w14:paraId="40CA9886"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shopping is Exciting</w:t>
            </w:r>
          </w:p>
        </w:tc>
        <w:tc>
          <w:tcPr>
            <w:tcW w:w="1512" w:type="dxa"/>
            <w:vAlign w:val="center"/>
          </w:tcPr>
          <w:p w14:paraId="374A1CDB"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1328" w:type="dxa"/>
            <w:vAlign w:val="center"/>
          </w:tcPr>
          <w:p w14:paraId="3141D5AD"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1B64ADBB" w14:textId="77777777" w:rsidTr="005562F0">
        <w:trPr>
          <w:trHeight w:hRule="exact" w:val="495"/>
          <w:jc w:val="center"/>
        </w:trPr>
        <w:tc>
          <w:tcPr>
            <w:tcW w:w="2609" w:type="dxa"/>
            <w:tcBorders>
              <w:bottom w:val="single" w:sz="4" w:space="0" w:color="auto"/>
            </w:tcBorders>
            <w:vAlign w:val="center"/>
          </w:tcPr>
          <w:p w14:paraId="69537679"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bottom w:val="single" w:sz="4" w:space="0" w:color="auto"/>
            </w:tcBorders>
            <w:vAlign w:val="center"/>
          </w:tcPr>
          <w:p w14:paraId="41F4EBEE"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Shopping is Thrilling</w:t>
            </w:r>
          </w:p>
        </w:tc>
        <w:tc>
          <w:tcPr>
            <w:tcW w:w="1512" w:type="dxa"/>
            <w:tcBorders>
              <w:bottom w:val="single" w:sz="4" w:space="0" w:color="auto"/>
            </w:tcBorders>
            <w:vAlign w:val="center"/>
          </w:tcPr>
          <w:p w14:paraId="6C0BD97B"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328" w:type="dxa"/>
            <w:tcBorders>
              <w:bottom w:val="single" w:sz="4" w:space="0" w:color="auto"/>
            </w:tcBorders>
            <w:vAlign w:val="center"/>
          </w:tcPr>
          <w:p w14:paraId="1DA34397"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3F1742DF" w14:textId="77777777" w:rsidTr="005562F0">
        <w:trPr>
          <w:trHeight w:hRule="exact" w:val="720"/>
          <w:jc w:val="center"/>
        </w:trPr>
        <w:tc>
          <w:tcPr>
            <w:tcW w:w="2609" w:type="dxa"/>
            <w:tcBorders>
              <w:bottom w:val="single" w:sz="4" w:space="0" w:color="auto"/>
            </w:tcBorders>
            <w:vAlign w:val="center"/>
          </w:tcPr>
          <w:p w14:paraId="0069A96B"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Uniqueness Value</w:t>
            </w:r>
          </w:p>
        </w:tc>
        <w:tc>
          <w:tcPr>
            <w:tcW w:w="4411" w:type="dxa"/>
            <w:tcBorders>
              <w:bottom w:val="single" w:sz="4" w:space="0" w:color="auto"/>
            </w:tcBorders>
            <w:vAlign w:val="center"/>
          </w:tcPr>
          <w:p w14:paraId="7095101C"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stores are Unique</w:t>
            </w:r>
          </w:p>
        </w:tc>
        <w:tc>
          <w:tcPr>
            <w:tcW w:w="1512" w:type="dxa"/>
            <w:tcBorders>
              <w:bottom w:val="single" w:sz="4" w:space="0" w:color="auto"/>
            </w:tcBorders>
            <w:vAlign w:val="center"/>
          </w:tcPr>
          <w:p w14:paraId="219802C1"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8" w:type="dxa"/>
            <w:tcBorders>
              <w:bottom w:val="single" w:sz="4" w:space="0" w:color="auto"/>
            </w:tcBorders>
            <w:vAlign w:val="center"/>
          </w:tcPr>
          <w:p w14:paraId="5FAE5C49"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6592C" w:rsidRPr="00626BCA" w14:paraId="5B027DB3" w14:textId="77777777" w:rsidTr="005562F0">
        <w:trPr>
          <w:trHeight w:hRule="exact" w:val="288"/>
          <w:jc w:val="center"/>
        </w:trPr>
        <w:tc>
          <w:tcPr>
            <w:tcW w:w="2609" w:type="dxa"/>
            <w:tcBorders>
              <w:top w:val="single" w:sz="4" w:space="0" w:color="auto"/>
            </w:tcBorders>
            <w:vAlign w:val="center"/>
          </w:tcPr>
          <w:p w14:paraId="7A6D437E"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top w:val="single" w:sz="4" w:space="0" w:color="auto"/>
            </w:tcBorders>
            <w:vAlign w:val="center"/>
          </w:tcPr>
          <w:p w14:paraId="4CC33AD9" w14:textId="77777777" w:rsidR="0066592C" w:rsidRPr="00626BCA" w:rsidRDefault="0066592C" w:rsidP="005562F0">
            <w:pPr>
              <w:rPr>
                <w:rFonts w:ascii="Times New Roman" w:eastAsia="Times New Roman" w:hAnsi="Times New Roman" w:cs="Times New Roman"/>
                <w:sz w:val="24"/>
                <w:szCs w:val="24"/>
              </w:rPr>
            </w:pPr>
          </w:p>
        </w:tc>
        <w:tc>
          <w:tcPr>
            <w:tcW w:w="1512" w:type="dxa"/>
            <w:tcBorders>
              <w:top w:val="single" w:sz="4" w:space="0" w:color="auto"/>
            </w:tcBorders>
            <w:vAlign w:val="center"/>
          </w:tcPr>
          <w:p w14:paraId="78B57D42" w14:textId="77777777" w:rsidR="0066592C" w:rsidRPr="00626BCA" w:rsidRDefault="0066592C" w:rsidP="005562F0">
            <w:pPr>
              <w:jc w:val="center"/>
              <w:rPr>
                <w:rFonts w:ascii="Times New Roman" w:eastAsia="Times New Roman" w:hAnsi="Times New Roman" w:cs="Times New Roman"/>
                <w:sz w:val="24"/>
                <w:szCs w:val="24"/>
              </w:rPr>
            </w:pPr>
          </w:p>
        </w:tc>
        <w:tc>
          <w:tcPr>
            <w:tcW w:w="1328" w:type="dxa"/>
            <w:tcBorders>
              <w:top w:val="single" w:sz="4" w:space="0" w:color="auto"/>
            </w:tcBorders>
            <w:vAlign w:val="center"/>
          </w:tcPr>
          <w:p w14:paraId="6593326D"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62240EF0" w14:textId="77777777" w:rsidTr="005562F0">
        <w:trPr>
          <w:trHeight w:hRule="exact" w:val="288"/>
          <w:jc w:val="center"/>
        </w:trPr>
        <w:tc>
          <w:tcPr>
            <w:tcW w:w="2609" w:type="dxa"/>
            <w:vAlign w:val="center"/>
          </w:tcPr>
          <w:p w14:paraId="099D30C5"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Atmosphere</w:t>
            </w:r>
          </w:p>
        </w:tc>
        <w:tc>
          <w:tcPr>
            <w:tcW w:w="4411" w:type="dxa"/>
            <w:vAlign w:val="center"/>
          </w:tcPr>
          <w:p w14:paraId="6E64A8E4"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atmosphere is Attractive</w:t>
            </w:r>
          </w:p>
          <w:p w14:paraId="26B01CEE" w14:textId="77777777" w:rsidR="0066592C" w:rsidRPr="00626BCA" w:rsidRDefault="0066592C" w:rsidP="005562F0">
            <w:pPr>
              <w:rPr>
                <w:rFonts w:ascii="Times New Roman" w:eastAsia="Times New Roman" w:hAnsi="Times New Roman" w:cs="Times New Roman"/>
                <w:sz w:val="24"/>
                <w:szCs w:val="24"/>
              </w:rPr>
            </w:pPr>
          </w:p>
        </w:tc>
        <w:tc>
          <w:tcPr>
            <w:tcW w:w="1512" w:type="dxa"/>
            <w:vAlign w:val="center"/>
          </w:tcPr>
          <w:p w14:paraId="4D5291BB"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c>
          <w:tcPr>
            <w:tcW w:w="1328" w:type="dxa"/>
            <w:vAlign w:val="center"/>
          </w:tcPr>
          <w:p w14:paraId="73AD8068"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r>
      <w:tr w:rsidR="0066592C" w:rsidRPr="00626BCA" w14:paraId="1745A578" w14:textId="77777777" w:rsidTr="005562F0">
        <w:trPr>
          <w:trHeight w:hRule="exact" w:val="468"/>
          <w:jc w:val="center"/>
        </w:trPr>
        <w:tc>
          <w:tcPr>
            <w:tcW w:w="2609" w:type="dxa"/>
            <w:tcBorders>
              <w:bottom w:val="single" w:sz="4" w:space="0" w:color="auto"/>
            </w:tcBorders>
            <w:vAlign w:val="center"/>
          </w:tcPr>
          <w:p w14:paraId="1C5E0274"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bottom w:val="single" w:sz="4" w:space="0" w:color="auto"/>
            </w:tcBorders>
            <w:vAlign w:val="center"/>
          </w:tcPr>
          <w:p w14:paraId="5D90D9E1"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atmosphere is Pleasant</w:t>
            </w:r>
          </w:p>
        </w:tc>
        <w:tc>
          <w:tcPr>
            <w:tcW w:w="1512" w:type="dxa"/>
            <w:tcBorders>
              <w:bottom w:val="single" w:sz="4" w:space="0" w:color="auto"/>
            </w:tcBorders>
            <w:vAlign w:val="center"/>
          </w:tcPr>
          <w:p w14:paraId="1903805B"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328" w:type="dxa"/>
            <w:tcBorders>
              <w:bottom w:val="single" w:sz="4" w:space="0" w:color="auto"/>
            </w:tcBorders>
            <w:vAlign w:val="center"/>
          </w:tcPr>
          <w:p w14:paraId="365FE0F3"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4EEFA118" w14:textId="77777777" w:rsidTr="005562F0">
        <w:trPr>
          <w:trHeight w:hRule="exact" w:val="288"/>
          <w:jc w:val="center"/>
        </w:trPr>
        <w:tc>
          <w:tcPr>
            <w:tcW w:w="2609" w:type="dxa"/>
            <w:tcBorders>
              <w:top w:val="single" w:sz="4" w:space="0" w:color="auto"/>
            </w:tcBorders>
            <w:vAlign w:val="center"/>
          </w:tcPr>
          <w:p w14:paraId="65E9A23E"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top w:val="single" w:sz="4" w:space="0" w:color="auto"/>
            </w:tcBorders>
            <w:vAlign w:val="center"/>
          </w:tcPr>
          <w:p w14:paraId="4F020076" w14:textId="77777777" w:rsidR="0066592C" w:rsidRPr="00626BCA" w:rsidRDefault="0066592C" w:rsidP="005562F0">
            <w:pPr>
              <w:rPr>
                <w:rFonts w:ascii="Times New Roman" w:eastAsia="Times New Roman" w:hAnsi="Times New Roman" w:cs="Times New Roman"/>
                <w:sz w:val="24"/>
                <w:szCs w:val="24"/>
              </w:rPr>
            </w:pPr>
          </w:p>
        </w:tc>
        <w:tc>
          <w:tcPr>
            <w:tcW w:w="1512" w:type="dxa"/>
            <w:tcBorders>
              <w:top w:val="single" w:sz="4" w:space="0" w:color="auto"/>
            </w:tcBorders>
            <w:vAlign w:val="center"/>
          </w:tcPr>
          <w:p w14:paraId="1AD883D7" w14:textId="77777777" w:rsidR="0066592C" w:rsidRPr="00626BCA" w:rsidRDefault="0066592C" w:rsidP="005562F0">
            <w:pPr>
              <w:jc w:val="center"/>
              <w:rPr>
                <w:rFonts w:ascii="Times New Roman" w:eastAsia="Times New Roman" w:hAnsi="Times New Roman" w:cs="Times New Roman"/>
                <w:sz w:val="24"/>
                <w:szCs w:val="24"/>
              </w:rPr>
            </w:pPr>
          </w:p>
        </w:tc>
        <w:tc>
          <w:tcPr>
            <w:tcW w:w="1328" w:type="dxa"/>
            <w:tcBorders>
              <w:top w:val="single" w:sz="4" w:space="0" w:color="auto"/>
            </w:tcBorders>
            <w:vAlign w:val="center"/>
          </w:tcPr>
          <w:p w14:paraId="7F4681D4"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28685741" w14:textId="77777777" w:rsidTr="005562F0">
        <w:trPr>
          <w:trHeight w:hRule="exact" w:val="630"/>
          <w:jc w:val="center"/>
        </w:trPr>
        <w:tc>
          <w:tcPr>
            <w:tcW w:w="2609" w:type="dxa"/>
            <w:vAlign w:val="center"/>
          </w:tcPr>
          <w:p w14:paraId="5A03F1F4"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Brand Experience</w:t>
            </w:r>
          </w:p>
        </w:tc>
        <w:tc>
          <w:tcPr>
            <w:tcW w:w="4411" w:type="dxa"/>
            <w:vAlign w:val="center"/>
          </w:tcPr>
          <w:p w14:paraId="64660E7B"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stores induce feelings and sentiments in me</w:t>
            </w:r>
          </w:p>
        </w:tc>
        <w:tc>
          <w:tcPr>
            <w:tcW w:w="1512" w:type="dxa"/>
            <w:vAlign w:val="center"/>
          </w:tcPr>
          <w:p w14:paraId="3A4673A7"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328" w:type="dxa"/>
            <w:vAlign w:val="center"/>
          </w:tcPr>
          <w:p w14:paraId="3BCFA7E2"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r>
      <w:tr w:rsidR="0066592C" w:rsidRPr="00626BCA" w14:paraId="4125C4B7" w14:textId="77777777" w:rsidTr="005562F0">
        <w:trPr>
          <w:trHeight w:hRule="exact" w:val="288"/>
          <w:jc w:val="center"/>
        </w:trPr>
        <w:tc>
          <w:tcPr>
            <w:tcW w:w="2609" w:type="dxa"/>
            <w:vAlign w:val="center"/>
          </w:tcPr>
          <w:p w14:paraId="45E81D66"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vAlign w:val="center"/>
          </w:tcPr>
          <w:p w14:paraId="74BCA226"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I have strong emotions for Popup stores</w:t>
            </w:r>
          </w:p>
        </w:tc>
        <w:tc>
          <w:tcPr>
            <w:tcW w:w="1512" w:type="dxa"/>
            <w:vAlign w:val="center"/>
          </w:tcPr>
          <w:p w14:paraId="03A592AE"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1328" w:type="dxa"/>
            <w:vAlign w:val="center"/>
          </w:tcPr>
          <w:p w14:paraId="01F8CEE4"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1CB093FA" w14:textId="77777777" w:rsidTr="005562F0">
        <w:trPr>
          <w:trHeight w:hRule="exact" w:val="405"/>
          <w:jc w:val="center"/>
        </w:trPr>
        <w:tc>
          <w:tcPr>
            <w:tcW w:w="2609" w:type="dxa"/>
            <w:vAlign w:val="center"/>
          </w:tcPr>
          <w:p w14:paraId="60F869B0"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vAlign w:val="center"/>
          </w:tcPr>
          <w:p w14:paraId="34FB612D"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Popup store brands are emotional brands</w:t>
            </w:r>
          </w:p>
        </w:tc>
        <w:tc>
          <w:tcPr>
            <w:tcW w:w="1512" w:type="dxa"/>
            <w:vAlign w:val="center"/>
          </w:tcPr>
          <w:p w14:paraId="2ACBC5D4"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c>
          <w:tcPr>
            <w:tcW w:w="1328" w:type="dxa"/>
            <w:vAlign w:val="center"/>
          </w:tcPr>
          <w:p w14:paraId="66711E9E"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6FE5181C" w14:textId="77777777" w:rsidTr="005562F0">
        <w:trPr>
          <w:trHeight w:hRule="exact" w:val="775"/>
          <w:jc w:val="center"/>
        </w:trPr>
        <w:tc>
          <w:tcPr>
            <w:tcW w:w="2609" w:type="dxa"/>
            <w:tcBorders>
              <w:top w:val="single" w:sz="4" w:space="0" w:color="auto"/>
            </w:tcBorders>
            <w:vAlign w:val="center"/>
          </w:tcPr>
          <w:p w14:paraId="3D29ABF9"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WOM</w:t>
            </w:r>
            <w:r w:rsidRPr="00626BCA">
              <w:rPr>
                <w:rFonts w:ascii="Times New Roman" w:eastAsia="Times New Roman" w:hAnsi="Times New Roman" w:cs="Times New Roman"/>
                <w:sz w:val="24"/>
                <w:szCs w:val="24"/>
              </w:rPr>
              <w:t xml:space="preserve"> intentions for Popup stores</w:t>
            </w:r>
          </w:p>
        </w:tc>
        <w:tc>
          <w:tcPr>
            <w:tcW w:w="4411" w:type="dxa"/>
            <w:tcBorders>
              <w:top w:val="single" w:sz="4" w:space="0" w:color="auto"/>
            </w:tcBorders>
            <w:vAlign w:val="center"/>
          </w:tcPr>
          <w:p w14:paraId="02B7343F"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 xml:space="preserve">I will spread positive </w:t>
            </w:r>
            <w:r>
              <w:rPr>
                <w:rFonts w:ascii="Times New Roman" w:eastAsia="Times New Roman" w:hAnsi="Times New Roman" w:cs="Times New Roman"/>
                <w:sz w:val="24"/>
                <w:szCs w:val="24"/>
              </w:rPr>
              <w:t>WOM</w:t>
            </w:r>
            <w:r w:rsidRPr="00626BCA">
              <w:rPr>
                <w:rFonts w:ascii="Times New Roman" w:eastAsia="Times New Roman" w:hAnsi="Times New Roman" w:cs="Times New Roman"/>
                <w:sz w:val="24"/>
                <w:szCs w:val="24"/>
              </w:rPr>
              <w:t xml:space="preserve"> about my favorite lifestyle &amp; accessory brands</w:t>
            </w:r>
          </w:p>
        </w:tc>
        <w:tc>
          <w:tcPr>
            <w:tcW w:w="1512" w:type="dxa"/>
            <w:tcBorders>
              <w:top w:val="single" w:sz="4" w:space="0" w:color="auto"/>
            </w:tcBorders>
            <w:vAlign w:val="center"/>
          </w:tcPr>
          <w:p w14:paraId="495BFE9F"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tc>
        <w:tc>
          <w:tcPr>
            <w:tcW w:w="1328" w:type="dxa"/>
            <w:tcBorders>
              <w:top w:val="single" w:sz="4" w:space="0" w:color="auto"/>
            </w:tcBorders>
            <w:vAlign w:val="center"/>
          </w:tcPr>
          <w:p w14:paraId="6943FA45"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r w:rsidR="0066592C" w:rsidRPr="00626BCA" w14:paraId="24A61422" w14:textId="77777777" w:rsidTr="005562F0">
        <w:trPr>
          <w:trHeight w:hRule="exact" w:val="702"/>
          <w:jc w:val="center"/>
        </w:trPr>
        <w:tc>
          <w:tcPr>
            <w:tcW w:w="2609" w:type="dxa"/>
            <w:vAlign w:val="center"/>
          </w:tcPr>
          <w:p w14:paraId="42DACB5B"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vAlign w:val="center"/>
          </w:tcPr>
          <w:p w14:paraId="5EB82C29"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I will happily recommend my favorite lifestyle and accessory brand to my friends.</w:t>
            </w:r>
          </w:p>
          <w:p w14:paraId="5A831362" w14:textId="77777777" w:rsidR="0066592C" w:rsidRPr="00626BCA" w:rsidRDefault="0066592C" w:rsidP="005562F0">
            <w:pPr>
              <w:rPr>
                <w:rFonts w:ascii="Times New Roman" w:eastAsia="Times New Roman" w:hAnsi="Times New Roman" w:cs="Times New Roman"/>
                <w:sz w:val="24"/>
                <w:szCs w:val="24"/>
              </w:rPr>
            </w:pPr>
          </w:p>
        </w:tc>
        <w:tc>
          <w:tcPr>
            <w:tcW w:w="1512" w:type="dxa"/>
            <w:vAlign w:val="center"/>
          </w:tcPr>
          <w:p w14:paraId="718B856B"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w:t>
            </w:r>
          </w:p>
        </w:tc>
        <w:tc>
          <w:tcPr>
            <w:tcW w:w="1328" w:type="dxa"/>
            <w:vAlign w:val="center"/>
          </w:tcPr>
          <w:p w14:paraId="108A4C84"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2D84EDF5" w14:textId="77777777" w:rsidTr="005562F0">
        <w:trPr>
          <w:trHeight w:hRule="exact" w:val="900"/>
          <w:jc w:val="center"/>
        </w:trPr>
        <w:tc>
          <w:tcPr>
            <w:tcW w:w="2609" w:type="dxa"/>
            <w:vAlign w:val="center"/>
          </w:tcPr>
          <w:p w14:paraId="125F2E54"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vAlign w:val="center"/>
          </w:tcPr>
          <w:p w14:paraId="6880F50D"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If my friends were looking for an a lifestyle or accessory brand I would recommend a brand to them</w:t>
            </w:r>
          </w:p>
        </w:tc>
        <w:tc>
          <w:tcPr>
            <w:tcW w:w="1512" w:type="dxa"/>
            <w:vAlign w:val="center"/>
          </w:tcPr>
          <w:p w14:paraId="3645D7D4"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tc>
        <w:tc>
          <w:tcPr>
            <w:tcW w:w="1328" w:type="dxa"/>
            <w:vAlign w:val="center"/>
          </w:tcPr>
          <w:p w14:paraId="3075AD45"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5B7D04AF" w14:textId="77777777" w:rsidTr="005562F0">
        <w:trPr>
          <w:trHeight w:hRule="exact" w:val="703"/>
          <w:jc w:val="center"/>
        </w:trPr>
        <w:tc>
          <w:tcPr>
            <w:tcW w:w="2609" w:type="dxa"/>
            <w:tcBorders>
              <w:top w:val="single" w:sz="4" w:space="0" w:color="auto"/>
            </w:tcBorders>
            <w:vAlign w:val="center"/>
          </w:tcPr>
          <w:p w14:paraId="5FA9AB31" w14:textId="77777777" w:rsidR="0066592C" w:rsidRPr="00626BCA" w:rsidRDefault="0066592C" w:rsidP="005562F0">
            <w:pPr>
              <w:jc w:val="cente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Brand Familiarity for Popup brand stores</w:t>
            </w:r>
          </w:p>
        </w:tc>
        <w:tc>
          <w:tcPr>
            <w:tcW w:w="4411" w:type="dxa"/>
            <w:tcBorders>
              <w:top w:val="single" w:sz="4" w:space="0" w:color="auto"/>
            </w:tcBorders>
            <w:vAlign w:val="center"/>
          </w:tcPr>
          <w:p w14:paraId="0B1952D1" w14:textId="77777777" w:rsidR="0066592C" w:rsidRPr="00626BCA" w:rsidRDefault="0066592C" w:rsidP="005562F0">
            <w:pPr>
              <w:rPr>
                <w:rFonts w:ascii="Times New Roman" w:eastAsia="Times New Roman" w:hAnsi="Times New Roman" w:cs="Times New Roman"/>
                <w:sz w:val="24"/>
                <w:szCs w:val="24"/>
              </w:rPr>
            </w:pPr>
            <w:r w:rsidRPr="00626BCA">
              <w:rPr>
                <w:rFonts w:ascii="Times New Roman" w:eastAsia="Times New Roman" w:hAnsi="Times New Roman" w:cs="Times New Roman"/>
                <w:sz w:val="24"/>
                <w:szCs w:val="24"/>
              </w:rPr>
              <w:t>I’m familiar with my lifestyle and accessory brand.</w:t>
            </w:r>
          </w:p>
        </w:tc>
        <w:tc>
          <w:tcPr>
            <w:tcW w:w="1512" w:type="dxa"/>
            <w:tcBorders>
              <w:top w:val="single" w:sz="4" w:space="0" w:color="auto"/>
            </w:tcBorders>
            <w:vAlign w:val="center"/>
          </w:tcPr>
          <w:p w14:paraId="658AD17F" w14:textId="77777777" w:rsidR="0066592C" w:rsidRPr="00626BCA" w:rsidRDefault="0066592C" w:rsidP="005562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8" w:type="dxa"/>
            <w:tcBorders>
              <w:top w:val="single" w:sz="4" w:space="0" w:color="auto"/>
            </w:tcBorders>
            <w:vAlign w:val="center"/>
          </w:tcPr>
          <w:p w14:paraId="1993F079"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6C8AE3B3" w14:textId="77777777" w:rsidTr="005562F0">
        <w:trPr>
          <w:trHeight w:val="111"/>
          <w:jc w:val="center"/>
        </w:trPr>
        <w:tc>
          <w:tcPr>
            <w:tcW w:w="2609" w:type="dxa"/>
            <w:tcBorders>
              <w:bottom w:val="single" w:sz="4" w:space="0" w:color="auto"/>
            </w:tcBorders>
            <w:vAlign w:val="center"/>
          </w:tcPr>
          <w:p w14:paraId="6629864A"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bottom w:val="single" w:sz="4" w:space="0" w:color="auto"/>
            </w:tcBorders>
            <w:vAlign w:val="center"/>
          </w:tcPr>
          <w:p w14:paraId="6211A11E" w14:textId="77777777" w:rsidR="0066592C" w:rsidRPr="00626BCA" w:rsidRDefault="0066592C" w:rsidP="005562F0">
            <w:pPr>
              <w:rPr>
                <w:rFonts w:ascii="Times New Roman" w:eastAsia="Times New Roman" w:hAnsi="Times New Roman" w:cs="Times New Roman"/>
                <w:sz w:val="24"/>
                <w:szCs w:val="24"/>
              </w:rPr>
            </w:pPr>
          </w:p>
        </w:tc>
        <w:tc>
          <w:tcPr>
            <w:tcW w:w="1512" w:type="dxa"/>
            <w:tcBorders>
              <w:bottom w:val="single" w:sz="4" w:space="0" w:color="auto"/>
            </w:tcBorders>
            <w:vAlign w:val="center"/>
          </w:tcPr>
          <w:p w14:paraId="595EECBD" w14:textId="77777777" w:rsidR="0066592C" w:rsidRPr="00626BCA" w:rsidRDefault="0066592C" w:rsidP="005562F0">
            <w:pPr>
              <w:jc w:val="center"/>
              <w:rPr>
                <w:rFonts w:ascii="Times New Roman" w:eastAsia="Times New Roman" w:hAnsi="Times New Roman" w:cs="Times New Roman"/>
                <w:sz w:val="24"/>
                <w:szCs w:val="24"/>
              </w:rPr>
            </w:pPr>
          </w:p>
        </w:tc>
        <w:tc>
          <w:tcPr>
            <w:tcW w:w="1328" w:type="dxa"/>
            <w:tcBorders>
              <w:bottom w:val="single" w:sz="4" w:space="0" w:color="auto"/>
            </w:tcBorders>
            <w:vAlign w:val="center"/>
          </w:tcPr>
          <w:p w14:paraId="29ACFDA1" w14:textId="77777777" w:rsidR="0066592C" w:rsidRPr="00626BCA" w:rsidRDefault="0066592C" w:rsidP="005562F0">
            <w:pPr>
              <w:jc w:val="center"/>
              <w:rPr>
                <w:rFonts w:ascii="Times New Roman" w:eastAsia="Times New Roman" w:hAnsi="Times New Roman" w:cs="Times New Roman"/>
                <w:sz w:val="24"/>
                <w:szCs w:val="24"/>
              </w:rPr>
            </w:pPr>
          </w:p>
        </w:tc>
      </w:tr>
      <w:tr w:rsidR="0066592C" w:rsidRPr="00626BCA" w14:paraId="1D4B7840" w14:textId="77777777" w:rsidTr="005562F0">
        <w:trPr>
          <w:trHeight w:val="105"/>
          <w:jc w:val="center"/>
        </w:trPr>
        <w:tc>
          <w:tcPr>
            <w:tcW w:w="2609" w:type="dxa"/>
            <w:tcBorders>
              <w:top w:val="single" w:sz="4" w:space="0" w:color="auto"/>
            </w:tcBorders>
            <w:vAlign w:val="center"/>
          </w:tcPr>
          <w:p w14:paraId="274E3E8B" w14:textId="77777777" w:rsidR="0066592C" w:rsidRPr="00626BCA" w:rsidRDefault="0066592C" w:rsidP="005562F0">
            <w:pPr>
              <w:jc w:val="center"/>
              <w:rPr>
                <w:rFonts w:ascii="Times New Roman" w:eastAsia="Times New Roman" w:hAnsi="Times New Roman" w:cs="Times New Roman"/>
                <w:sz w:val="24"/>
                <w:szCs w:val="24"/>
              </w:rPr>
            </w:pPr>
          </w:p>
        </w:tc>
        <w:tc>
          <w:tcPr>
            <w:tcW w:w="4411" w:type="dxa"/>
            <w:tcBorders>
              <w:top w:val="single" w:sz="4" w:space="0" w:color="auto"/>
            </w:tcBorders>
            <w:vAlign w:val="center"/>
          </w:tcPr>
          <w:p w14:paraId="7FC21F5A" w14:textId="77777777" w:rsidR="0066592C" w:rsidRPr="00626BCA" w:rsidRDefault="0066592C" w:rsidP="005562F0">
            <w:pPr>
              <w:rPr>
                <w:rFonts w:ascii="Times New Roman" w:eastAsia="Times New Roman" w:hAnsi="Times New Roman" w:cs="Times New Roman"/>
                <w:sz w:val="24"/>
                <w:szCs w:val="24"/>
              </w:rPr>
            </w:pPr>
          </w:p>
        </w:tc>
        <w:tc>
          <w:tcPr>
            <w:tcW w:w="1512" w:type="dxa"/>
            <w:tcBorders>
              <w:top w:val="single" w:sz="4" w:space="0" w:color="auto"/>
            </w:tcBorders>
            <w:vAlign w:val="center"/>
          </w:tcPr>
          <w:p w14:paraId="5539BD20" w14:textId="77777777" w:rsidR="0066592C" w:rsidRPr="00626BCA" w:rsidRDefault="0066592C" w:rsidP="005562F0">
            <w:pPr>
              <w:jc w:val="center"/>
              <w:rPr>
                <w:rFonts w:ascii="Times New Roman" w:eastAsia="Times New Roman" w:hAnsi="Times New Roman" w:cs="Times New Roman"/>
                <w:sz w:val="24"/>
                <w:szCs w:val="24"/>
              </w:rPr>
            </w:pPr>
          </w:p>
        </w:tc>
        <w:tc>
          <w:tcPr>
            <w:tcW w:w="1328" w:type="dxa"/>
            <w:tcBorders>
              <w:top w:val="single" w:sz="4" w:space="0" w:color="auto"/>
            </w:tcBorders>
            <w:vAlign w:val="center"/>
          </w:tcPr>
          <w:p w14:paraId="2319512A" w14:textId="77777777" w:rsidR="0066592C" w:rsidRPr="00626BCA" w:rsidRDefault="0066592C" w:rsidP="005562F0">
            <w:pPr>
              <w:jc w:val="center"/>
              <w:rPr>
                <w:rFonts w:ascii="Times New Roman" w:eastAsia="Times New Roman" w:hAnsi="Times New Roman" w:cs="Times New Roman"/>
                <w:sz w:val="24"/>
                <w:szCs w:val="24"/>
              </w:rPr>
            </w:pPr>
          </w:p>
        </w:tc>
      </w:tr>
    </w:tbl>
    <w:p w14:paraId="06EAF68A" w14:textId="77777777" w:rsidR="0066592C" w:rsidRDefault="0066592C" w:rsidP="00EB7F28">
      <w:pPr>
        <w:spacing w:line="240" w:lineRule="auto"/>
        <w:rPr>
          <w:rFonts w:ascii="Times New Roman" w:eastAsia="Times New Roman" w:hAnsi="Times New Roman" w:cs="Times New Roman"/>
          <w:sz w:val="24"/>
          <w:szCs w:val="24"/>
        </w:rPr>
      </w:pPr>
    </w:p>
    <w:p w14:paraId="55BA7879" w14:textId="3334023A" w:rsidR="00977DD2" w:rsidRDefault="00977DD2" w:rsidP="00977D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Confirmatory Factor Analysis, Average Variance Extracted and Shared Variance.</w:t>
      </w:r>
    </w:p>
    <w:p w14:paraId="6D463DDD" w14:textId="401FB8CD" w:rsidR="0081371C" w:rsidRDefault="0081371C" w:rsidP="00977DD2">
      <w:pPr>
        <w:spacing w:line="240" w:lineRule="auto"/>
        <w:rPr>
          <w:rFonts w:ascii="Times New Roman" w:eastAsia="Times New Roman" w:hAnsi="Times New Roman" w:cs="Times New Roman"/>
          <w:sz w:val="24"/>
          <w:szCs w:val="24"/>
        </w:rPr>
      </w:pPr>
      <w:r w:rsidRPr="0081371C">
        <w:rPr>
          <w:noProof/>
        </w:rPr>
        <w:drawing>
          <wp:inline distT="0" distB="0" distL="0" distR="0" wp14:anchorId="2E32C392" wp14:editId="6726372D">
            <wp:extent cx="5381625" cy="260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609850"/>
                    </a:xfrm>
                    <a:prstGeom prst="rect">
                      <a:avLst/>
                    </a:prstGeom>
                    <a:noFill/>
                    <a:ln>
                      <a:noFill/>
                    </a:ln>
                  </pic:spPr>
                </pic:pic>
              </a:graphicData>
            </a:graphic>
          </wp:inline>
        </w:drawing>
      </w:r>
      <w:bookmarkStart w:id="0" w:name="_GoBack"/>
      <w:bookmarkEnd w:id="0"/>
    </w:p>
    <w:sectPr w:rsidR="008137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4E"/>
    <w:rsid w:val="000014C4"/>
    <w:rsid w:val="00005510"/>
    <w:rsid w:val="00011735"/>
    <w:rsid w:val="00011A33"/>
    <w:rsid w:val="00012D24"/>
    <w:rsid w:val="000138FB"/>
    <w:rsid w:val="00016752"/>
    <w:rsid w:val="00024205"/>
    <w:rsid w:val="00027ED1"/>
    <w:rsid w:val="00040A63"/>
    <w:rsid w:val="000751B0"/>
    <w:rsid w:val="00075E4D"/>
    <w:rsid w:val="00077A72"/>
    <w:rsid w:val="0008141A"/>
    <w:rsid w:val="00082F35"/>
    <w:rsid w:val="000860B7"/>
    <w:rsid w:val="00092CF9"/>
    <w:rsid w:val="00093C64"/>
    <w:rsid w:val="000A44DA"/>
    <w:rsid w:val="000B4CD5"/>
    <w:rsid w:val="000D303E"/>
    <w:rsid w:val="000D7475"/>
    <w:rsid w:val="000E4354"/>
    <w:rsid w:val="000F2F1A"/>
    <w:rsid w:val="000F76D5"/>
    <w:rsid w:val="00100192"/>
    <w:rsid w:val="0011371B"/>
    <w:rsid w:val="001256E0"/>
    <w:rsid w:val="00135624"/>
    <w:rsid w:val="0013600E"/>
    <w:rsid w:val="00150817"/>
    <w:rsid w:val="00176754"/>
    <w:rsid w:val="001913A4"/>
    <w:rsid w:val="001C01FA"/>
    <w:rsid w:val="001C3530"/>
    <w:rsid w:val="001C7104"/>
    <w:rsid w:val="00202719"/>
    <w:rsid w:val="002221B1"/>
    <w:rsid w:val="00224DA0"/>
    <w:rsid w:val="00247F22"/>
    <w:rsid w:val="002515D1"/>
    <w:rsid w:val="00266792"/>
    <w:rsid w:val="00280D5F"/>
    <w:rsid w:val="00283A33"/>
    <w:rsid w:val="002849BD"/>
    <w:rsid w:val="00284C74"/>
    <w:rsid w:val="00284ED0"/>
    <w:rsid w:val="00290A4D"/>
    <w:rsid w:val="002972C0"/>
    <w:rsid w:val="00297408"/>
    <w:rsid w:val="002A0AD8"/>
    <w:rsid w:val="002B0310"/>
    <w:rsid w:val="002B41B2"/>
    <w:rsid w:val="002D0353"/>
    <w:rsid w:val="002E66D3"/>
    <w:rsid w:val="002E7C9D"/>
    <w:rsid w:val="002F23CF"/>
    <w:rsid w:val="0030239D"/>
    <w:rsid w:val="003243C8"/>
    <w:rsid w:val="00326214"/>
    <w:rsid w:val="00330E4C"/>
    <w:rsid w:val="00334CF3"/>
    <w:rsid w:val="00336022"/>
    <w:rsid w:val="00344071"/>
    <w:rsid w:val="003442AB"/>
    <w:rsid w:val="00351A04"/>
    <w:rsid w:val="00354FC4"/>
    <w:rsid w:val="00357D99"/>
    <w:rsid w:val="00360CD7"/>
    <w:rsid w:val="003620C2"/>
    <w:rsid w:val="00383755"/>
    <w:rsid w:val="00384E52"/>
    <w:rsid w:val="003938B9"/>
    <w:rsid w:val="0039565F"/>
    <w:rsid w:val="003A290B"/>
    <w:rsid w:val="003A4331"/>
    <w:rsid w:val="003B257F"/>
    <w:rsid w:val="003B2665"/>
    <w:rsid w:val="003B551C"/>
    <w:rsid w:val="003D3141"/>
    <w:rsid w:val="003E17EF"/>
    <w:rsid w:val="003F4A7D"/>
    <w:rsid w:val="00411B3A"/>
    <w:rsid w:val="004215FF"/>
    <w:rsid w:val="004246E8"/>
    <w:rsid w:val="00426D54"/>
    <w:rsid w:val="00437BD5"/>
    <w:rsid w:val="00441BE1"/>
    <w:rsid w:val="004527A4"/>
    <w:rsid w:val="00456300"/>
    <w:rsid w:val="00475218"/>
    <w:rsid w:val="0048700C"/>
    <w:rsid w:val="00494AC5"/>
    <w:rsid w:val="004A56E7"/>
    <w:rsid w:val="004B286B"/>
    <w:rsid w:val="004B4C1D"/>
    <w:rsid w:val="004E284F"/>
    <w:rsid w:val="004F0C97"/>
    <w:rsid w:val="004F112B"/>
    <w:rsid w:val="00507E0B"/>
    <w:rsid w:val="00513B89"/>
    <w:rsid w:val="00526AE0"/>
    <w:rsid w:val="00526F72"/>
    <w:rsid w:val="005303EA"/>
    <w:rsid w:val="00540B8D"/>
    <w:rsid w:val="005562F0"/>
    <w:rsid w:val="005625B3"/>
    <w:rsid w:val="005669A6"/>
    <w:rsid w:val="00570747"/>
    <w:rsid w:val="00575926"/>
    <w:rsid w:val="0058436E"/>
    <w:rsid w:val="005955FD"/>
    <w:rsid w:val="005A3A25"/>
    <w:rsid w:val="005A3EA0"/>
    <w:rsid w:val="005B2DC2"/>
    <w:rsid w:val="005B369F"/>
    <w:rsid w:val="005C4E53"/>
    <w:rsid w:val="005D1CEE"/>
    <w:rsid w:val="005D3E5F"/>
    <w:rsid w:val="005E623F"/>
    <w:rsid w:val="005E73F1"/>
    <w:rsid w:val="005F0834"/>
    <w:rsid w:val="005F3D2E"/>
    <w:rsid w:val="00600A92"/>
    <w:rsid w:val="00610A03"/>
    <w:rsid w:val="00626BCA"/>
    <w:rsid w:val="00643204"/>
    <w:rsid w:val="00653DF9"/>
    <w:rsid w:val="0066078F"/>
    <w:rsid w:val="00660C1D"/>
    <w:rsid w:val="0066592C"/>
    <w:rsid w:val="00666449"/>
    <w:rsid w:val="00673333"/>
    <w:rsid w:val="00683D48"/>
    <w:rsid w:val="006C7040"/>
    <w:rsid w:val="006D2CBB"/>
    <w:rsid w:val="006D2D70"/>
    <w:rsid w:val="006D4354"/>
    <w:rsid w:val="006D765A"/>
    <w:rsid w:val="006E4F8A"/>
    <w:rsid w:val="006F0AD3"/>
    <w:rsid w:val="006F58A3"/>
    <w:rsid w:val="006F5F8F"/>
    <w:rsid w:val="007322F5"/>
    <w:rsid w:val="00736E05"/>
    <w:rsid w:val="0074302F"/>
    <w:rsid w:val="0075297F"/>
    <w:rsid w:val="007637CA"/>
    <w:rsid w:val="007662C9"/>
    <w:rsid w:val="00767AFE"/>
    <w:rsid w:val="00781971"/>
    <w:rsid w:val="0078405E"/>
    <w:rsid w:val="00786E3D"/>
    <w:rsid w:val="007A4051"/>
    <w:rsid w:val="007C24FF"/>
    <w:rsid w:val="007D0893"/>
    <w:rsid w:val="007D1D63"/>
    <w:rsid w:val="007D784D"/>
    <w:rsid w:val="007E00FD"/>
    <w:rsid w:val="007E1BB6"/>
    <w:rsid w:val="007E794C"/>
    <w:rsid w:val="007F3AEE"/>
    <w:rsid w:val="007F3D6F"/>
    <w:rsid w:val="00800C3D"/>
    <w:rsid w:val="008027E5"/>
    <w:rsid w:val="0080379D"/>
    <w:rsid w:val="00806AF5"/>
    <w:rsid w:val="00811E8C"/>
    <w:rsid w:val="0081371C"/>
    <w:rsid w:val="008205B2"/>
    <w:rsid w:val="0083233B"/>
    <w:rsid w:val="00847CE0"/>
    <w:rsid w:val="0085366D"/>
    <w:rsid w:val="00854854"/>
    <w:rsid w:val="008648C6"/>
    <w:rsid w:val="00883384"/>
    <w:rsid w:val="00884A76"/>
    <w:rsid w:val="00890BE1"/>
    <w:rsid w:val="00892E64"/>
    <w:rsid w:val="0089365A"/>
    <w:rsid w:val="008979E8"/>
    <w:rsid w:val="008A79B0"/>
    <w:rsid w:val="008B48DB"/>
    <w:rsid w:val="008C1C04"/>
    <w:rsid w:val="008C75FD"/>
    <w:rsid w:val="008C7962"/>
    <w:rsid w:val="008D49A7"/>
    <w:rsid w:val="008D4CDF"/>
    <w:rsid w:val="008E55B9"/>
    <w:rsid w:val="008F60D9"/>
    <w:rsid w:val="009061E3"/>
    <w:rsid w:val="009164F3"/>
    <w:rsid w:val="00935136"/>
    <w:rsid w:val="009466F9"/>
    <w:rsid w:val="00950B7F"/>
    <w:rsid w:val="00950D55"/>
    <w:rsid w:val="00963111"/>
    <w:rsid w:val="009676C8"/>
    <w:rsid w:val="00976309"/>
    <w:rsid w:val="00977DD2"/>
    <w:rsid w:val="00981229"/>
    <w:rsid w:val="009816E0"/>
    <w:rsid w:val="009859BA"/>
    <w:rsid w:val="00997663"/>
    <w:rsid w:val="009A09F8"/>
    <w:rsid w:val="009A59D7"/>
    <w:rsid w:val="009A62CA"/>
    <w:rsid w:val="009B0C60"/>
    <w:rsid w:val="009D06D6"/>
    <w:rsid w:val="009F0856"/>
    <w:rsid w:val="00A026FC"/>
    <w:rsid w:val="00A05FD3"/>
    <w:rsid w:val="00A22402"/>
    <w:rsid w:val="00A5231E"/>
    <w:rsid w:val="00A648F6"/>
    <w:rsid w:val="00A8025C"/>
    <w:rsid w:val="00A93792"/>
    <w:rsid w:val="00A958A7"/>
    <w:rsid w:val="00AA1CEB"/>
    <w:rsid w:val="00AA2FD9"/>
    <w:rsid w:val="00AC0C4A"/>
    <w:rsid w:val="00AC0FCA"/>
    <w:rsid w:val="00AC45E0"/>
    <w:rsid w:val="00AD2618"/>
    <w:rsid w:val="00AD7704"/>
    <w:rsid w:val="00AF0804"/>
    <w:rsid w:val="00B0199D"/>
    <w:rsid w:val="00B03BF5"/>
    <w:rsid w:val="00B2571B"/>
    <w:rsid w:val="00B30504"/>
    <w:rsid w:val="00B42BC1"/>
    <w:rsid w:val="00B44857"/>
    <w:rsid w:val="00B55B15"/>
    <w:rsid w:val="00B57441"/>
    <w:rsid w:val="00B73F6A"/>
    <w:rsid w:val="00B83F4F"/>
    <w:rsid w:val="00B9022D"/>
    <w:rsid w:val="00BA27C6"/>
    <w:rsid w:val="00BA591A"/>
    <w:rsid w:val="00BA5AA7"/>
    <w:rsid w:val="00BB159A"/>
    <w:rsid w:val="00BB506A"/>
    <w:rsid w:val="00BC4AB6"/>
    <w:rsid w:val="00BC5D59"/>
    <w:rsid w:val="00BD012F"/>
    <w:rsid w:val="00BD34F8"/>
    <w:rsid w:val="00BE2370"/>
    <w:rsid w:val="00BE649F"/>
    <w:rsid w:val="00C00017"/>
    <w:rsid w:val="00C05112"/>
    <w:rsid w:val="00C14EC6"/>
    <w:rsid w:val="00C2705E"/>
    <w:rsid w:val="00C42C3E"/>
    <w:rsid w:val="00C466C5"/>
    <w:rsid w:val="00C67ECF"/>
    <w:rsid w:val="00C80C28"/>
    <w:rsid w:val="00C828B2"/>
    <w:rsid w:val="00C829F7"/>
    <w:rsid w:val="00C86052"/>
    <w:rsid w:val="00CA680F"/>
    <w:rsid w:val="00CB75DB"/>
    <w:rsid w:val="00CC0365"/>
    <w:rsid w:val="00CC535C"/>
    <w:rsid w:val="00CD7160"/>
    <w:rsid w:val="00CD7AED"/>
    <w:rsid w:val="00CF0CCD"/>
    <w:rsid w:val="00D24654"/>
    <w:rsid w:val="00D33CF0"/>
    <w:rsid w:val="00D34469"/>
    <w:rsid w:val="00D514C3"/>
    <w:rsid w:val="00D52728"/>
    <w:rsid w:val="00D60195"/>
    <w:rsid w:val="00D65ED8"/>
    <w:rsid w:val="00D74CB2"/>
    <w:rsid w:val="00D86395"/>
    <w:rsid w:val="00D917B4"/>
    <w:rsid w:val="00D9535E"/>
    <w:rsid w:val="00D962A6"/>
    <w:rsid w:val="00DA3A57"/>
    <w:rsid w:val="00DB355C"/>
    <w:rsid w:val="00DC4006"/>
    <w:rsid w:val="00DC69E1"/>
    <w:rsid w:val="00DF658A"/>
    <w:rsid w:val="00E04664"/>
    <w:rsid w:val="00E11174"/>
    <w:rsid w:val="00E14BF0"/>
    <w:rsid w:val="00E20D64"/>
    <w:rsid w:val="00E3042D"/>
    <w:rsid w:val="00E34424"/>
    <w:rsid w:val="00E36250"/>
    <w:rsid w:val="00E460DD"/>
    <w:rsid w:val="00E5383F"/>
    <w:rsid w:val="00E6197A"/>
    <w:rsid w:val="00E73B4F"/>
    <w:rsid w:val="00E833F5"/>
    <w:rsid w:val="00E8695D"/>
    <w:rsid w:val="00EA094E"/>
    <w:rsid w:val="00EB7F28"/>
    <w:rsid w:val="00EF3EBC"/>
    <w:rsid w:val="00EF58BA"/>
    <w:rsid w:val="00EF694A"/>
    <w:rsid w:val="00EF74A3"/>
    <w:rsid w:val="00F21AF0"/>
    <w:rsid w:val="00F3312A"/>
    <w:rsid w:val="00F34BC1"/>
    <w:rsid w:val="00F51894"/>
    <w:rsid w:val="00F655CE"/>
    <w:rsid w:val="00F671C3"/>
    <w:rsid w:val="00F70E6C"/>
    <w:rsid w:val="00F71777"/>
    <w:rsid w:val="00F81A66"/>
    <w:rsid w:val="00F83439"/>
    <w:rsid w:val="00F83B3F"/>
    <w:rsid w:val="00F92FBF"/>
    <w:rsid w:val="00F9735A"/>
    <w:rsid w:val="00FA6162"/>
    <w:rsid w:val="00FB170C"/>
    <w:rsid w:val="00FB6DF7"/>
    <w:rsid w:val="00FC103E"/>
    <w:rsid w:val="00FC74C7"/>
    <w:rsid w:val="00FD29C7"/>
    <w:rsid w:val="00FF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1D5A"/>
  <w15:docId w15:val="{89B79775-822F-4C70-965F-1CE6813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63111"/>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TableGrid">
    <w:name w:val="Table Grid"/>
    <w:basedOn w:val="TableNormal"/>
    <w:uiPriority w:val="39"/>
    <w:rsid w:val="0057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1045">
      <w:bodyDiv w:val="1"/>
      <w:marLeft w:val="0"/>
      <w:marRight w:val="0"/>
      <w:marTop w:val="0"/>
      <w:marBottom w:val="0"/>
      <w:divBdr>
        <w:top w:val="none" w:sz="0" w:space="0" w:color="auto"/>
        <w:left w:val="none" w:sz="0" w:space="0" w:color="auto"/>
        <w:bottom w:val="none" w:sz="0" w:space="0" w:color="auto"/>
        <w:right w:val="none" w:sz="0" w:space="0" w:color="auto"/>
      </w:divBdr>
      <w:divsChild>
        <w:div w:id="1696886309">
          <w:marLeft w:val="0"/>
          <w:marRight w:val="0"/>
          <w:marTop w:val="0"/>
          <w:marBottom w:val="0"/>
          <w:divBdr>
            <w:top w:val="none" w:sz="0" w:space="0" w:color="auto"/>
            <w:left w:val="none" w:sz="0" w:space="0" w:color="auto"/>
            <w:bottom w:val="none" w:sz="0" w:space="0" w:color="auto"/>
            <w:right w:val="none" w:sz="0" w:space="0" w:color="auto"/>
          </w:divBdr>
          <w:divsChild>
            <w:div w:id="1230504142">
              <w:marLeft w:val="0"/>
              <w:marRight w:val="0"/>
              <w:marTop w:val="0"/>
              <w:marBottom w:val="0"/>
              <w:divBdr>
                <w:top w:val="none" w:sz="0" w:space="0" w:color="auto"/>
                <w:left w:val="none" w:sz="0" w:space="0" w:color="auto"/>
                <w:bottom w:val="none" w:sz="0" w:space="0" w:color="auto"/>
                <w:right w:val="none" w:sz="0" w:space="0" w:color="auto"/>
              </w:divBdr>
              <w:divsChild>
                <w:div w:id="261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6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JpKlwHw5Z88M/kQQ2/7rthoLA==">AMUW2mXnapO4ZJmrdsIK3ACAZcETPEzl57xwAtksLWr8c/PDFt5T9x7whGvqib4orQTK8m28ph4uRG72Jk7iITYLparZsv4KrCv72Zjq/w68OCtOVr89hnDkRXgGezCWsdJTn2iP5itieZqOHDyKK/88+pXpHq4UYn8iVlqwi7T0xcRDtqFm4MmcTS4iro+2+Jqst2gOadf7e01ad9l0V6AO8j5xS3+7J6yx6Tktm1biEJ8o9Gggnh4=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52B13A-76D9-4E12-9D7F-387DFD4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Neetu Singh</dc:creator>
  <cp:lastModifiedBy>Neetu Singh</cp:lastModifiedBy>
  <cp:revision>2</cp:revision>
  <dcterms:created xsi:type="dcterms:W3CDTF">2021-10-18T09:18:00Z</dcterms:created>
  <dcterms:modified xsi:type="dcterms:W3CDTF">2021-10-18T09:18:00Z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dbf7ea84-5731-3cdb-8049-a4c8beea524d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http://www.zotero.org/styles/norsk-apa-manual</vt:lpwstr>
  </property>
  <property fmtid="{D5CDD505-2E9C-101B-9397-08002B2CF9AE}" pid="24" name="Mendeley Recent Style Name 9_1">
    <vt:lpwstr>Norsk APA-manual - APA 7th edition (author-date)</vt:lpwstr>
  </property>
</Properties>
</file>